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7A51D" w14:textId="77777777" w:rsidR="00956A26" w:rsidRDefault="00000000">
      <w:pPr>
        <w:ind w:left="-15" w:right="0"/>
      </w:pPr>
      <w:r>
        <w:t>В соответствии с нормами Налоговым кодексом Республики Беларусь (далее – Кодекс) с 1 января 2023 года индивидуальные предприниматели имеют право на применение:</w:t>
      </w:r>
    </w:p>
    <w:p w14:paraId="0EA6082E" w14:textId="77777777" w:rsidR="00956A26" w:rsidRDefault="00000000">
      <w:pPr>
        <w:numPr>
          <w:ilvl w:val="0"/>
          <w:numId w:val="1"/>
        </w:numPr>
        <w:spacing w:after="13"/>
        <w:ind w:right="0"/>
      </w:pPr>
      <w:r>
        <w:rPr>
          <w:b/>
        </w:rPr>
        <w:t xml:space="preserve">единого налога с индивидуальных предпринимателей и иных физических лиц (далее – единый налог) в соответствии с главой 33 Кодекса. </w:t>
      </w:r>
    </w:p>
    <w:p w14:paraId="12947A7F" w14:textId="77777777" w:rsidR="00956A26" w:rsidRDefault="00000000">
      <w:pPr>
        <w:numPr>
          <w:ilvl w:val="0"/>
          <w:numId w:val="1"/>
        </w:numPr>
        <w:spacing w:after="332"/>
        <w:ind w:right="0"/>
      </w:pPr>
      <w:r>
        <w:rPr>
          <w:b/>
        </w:rPr>
        <w:t xml:space="preserve">общего порядка налогообложения с уплатой подоходного налога с физических лиц (далее – подоходный налог) в соответствии с главой 18 Кодекса. </w:t>
      </w:r>
    </w:p>
    <w:p w14:paraId="652C23F0" w14:textId="77777777" w:rsidR="00956A26" w:rsidRDefault="00000000">
      <w:pPr>
        <w:spacing w:after="13"/>
        <w:ind w:left="704" w:right="0" w:hanging="10"/>
      </w:pPr>
      <w:r>
        <w:rPr>
          <w:b/>
        </w:rPr>
        <w:t>Единый налог</w:t>
      </w:r>
    </w:p>
    <w:p w14:paraId="696BAB2A" w14:textId="77777777" w:rsidR="00956A26" w:rsidRDefault="00000000">
      <w:pPr>
        <w:ind w:left="-15" w:right="0"/>
      </w:pPr>
      <w:r>
        <w:t>По общему правилу налоговая база единого налога определяется индивидуальными предпринимателями исходя из осуществляемых видов деятельности и количества торговых объектов, торговых мест, обслуживающих объектов, валовой выручки (п. 1 ст. 338 Кодекса).</w:t>
      </w:r>
    </w:p>
    <w:p w14:paraId="6292698F" w14:textId="77777777" w:rsidR="00956A26" w:rsidRDefault="00000000">
      <w:pPr>
        <w:ind w:left="-15" w:right="0"/>
      </w:pPr>
      <w:r>
        <w:t xml:space="preserve">С 1 января 2023 года из перечня видов деятельности, при осуществлении которых индивидуальные предприниматели вправе применять уплату единого налога исключен ряд позиций. </w:t>
      </w:r>
    </w:p>
    <w:p w14:paraId="25E88418" w14:textId="77777777" w:rsidR="00956A26" w:rsidRDefault="00000000">
      <w:pPr>
        <w:ind w:left="-15" w:right="0"/>
      </w:pPr>
      <w:r>
        <w:t>Так, из объектов обложения единым налогом исключены следующие виды деятельности (подп. 1.1 ст. 337 Кодекса, подп. 2.7 ст. 336 Кодекса):</w:t>
      </w:r>
    </w:p>
    <w:p w14:paraId="64204AD5" w14:textId="77777777" w:rsidR="00956A26" w:rsidRDefault="00000000">
      <w:pPr>
        <w:numPr>
          <w:ilvl w:val="0"/>
          <w:numId w:val="1"/>
        </w:numPr>
        <w:ind w:right="0"/>
      </w:pPr>
      <w:r>
        <w:t>техническое обслуживание и ремонт автомобилей, мотоциклов, мотороллеров и мопедов, услуги по восстановлению резиновых шин и покрышек, услуги по диагностированию транспортных средств, буксировка транспортных средств, оказание технической помощи в пути;</w:t>
      </w:r>
    </w:p>
    <w:p w14:paraId="45E3BD79" w14:textId="77777777" w:rsidR="00956A26" w:rsidRDefault="00000000">
      <w:pPr>
        <w:numPr>
          <w:ilvl w:val="0"/>
          <w:numId w:val="1"/>
        </w:numPr>
        <w:ind w:right="0"/>
      </w:pPr>
      <w:r>
        <w:t>предоставление услуг парикмахерскими и салонами красоты, услуги по нанесению татуировки, нательной живописи, перманентного макияжа, услуги по пирсингу;</w:t>
      </w:r>
    </w:p>
    <w:p w14:paraId="4CE89A9B" w14:textId="77777777" w:rsidR="00956A26" w:rsidRDefault="00000000">
      <w:pPr>
        <w:numPr>
          <w:ilvl w:val="0"/>
          <w:numId w:val="1"/>
        </w:numPr>
        <w:ind w:right="0"/>
      </w:pPr>
      <w:r>
        <w:t>деятельность грузового речного транспорта и грузового автомобильного транспорта, деятельность по перегону, перевозке, доставке из-за границы (за границу) автомототранспортных средств;</w:t>
      </w:r>
    </w:p>
    <w:p w14:paraId="1280095F" w14:textId="77777777" w:rsidR="00956A26" w:rsidRDefault="00000000">
      <w:pPr>
        <w:numPr>
          <w:ilvl w:val="0"/>
          <w:numId w:val="1"/>
        </w:numPr>
        <w:ind w:right="0"/>
      </w:pPr>
      <w:r>
        <w:t>строительство зданий, специальные строительные работы, бурение водяных скважин, пропитка древесины, производство деревянных строительных конструкций и столярных изделий, включая монтаж и установку изделий собственного производства, производство из пластмассы и поливинилхлорида дверных полотен и коробок, окон и оконных коробок, жалюзи, включая монтаж и установку изделий собственного производства;</w:t>
      </w:r>
    </w:p>
    <w:p w14:paraId="54F44BEA" w14:textId="77777777" w:rsidR="00956A26" w:rsidRDefault="00000000">
      <w:pPr>
        <w:numPr>
          <w:ilvl w:val="0"/>
          <w:numId w:val="1"/>
        </w:numPr>
        <w:ind w:right="0"/>
      </w:pPr>
      <w:r>
        <w:t>медицинская, в том числе стоматологическая, практика, прочая деятельность по охране здоровья;</w:t>
      </w:r>
    </w:p>
    <w:p w14:paraId="3B113802" w14:textId="77777777" w:rsidR="00956A26" w:rsidRDefault="00000000">
      <w:pPr>
        <w:numPr>
          <w:ilvl w:val="0"/>
          <w:numId w:val="1"/>
        </w:numPr>
        <w:ind w:right="0"/>
      </w:pPr>
      <w:r>
        <w:t>деятельность по чистке и уборке;</w:t>
      </w:r>
    </w:p>
    <w:p w14:paraId="1E9E8310" w14:textId="77777777" w:rsidR="00956A26" w:rsidRDefault="00000000">
      <w:pPr>
        <w:numPr>
          <w:ilvl w:val="0"/>
          <w:numId w:val="1"/>
        </w:numPr>
        <w:spacing w:line="259" w:lineRule="auto"/>
        <w:ind w:right="0"/>
      </w:pPr>
      <w:r>
        <w:lastRenderedPageBreak/>
        <w:t xml:space="preserve">деятельность, </w:t>
      </w:r>
      <w:r>
        <w:tab/>
        <w:t xml:space="preserve">способствующая </w:t>
      </w:r>
      <w:r>
        <w:tab/>
        <w:t xml:space="preserve">выращиванию </w:t>
      </w:r>
    </w:p>
    <w:p w14:paraId="4216CA97" w14:textId="77777777" w:rsidR="00956A26" w:rsidRDefault="00000000">
      <w:pPr>
        <w:ind w:left="-15" w:right="0" w:firstLine="0"/>
      </w:pPr>
      <w:r>
        <w:t>сельскохозяйственных культур и разведению животных;</w:t>
      </w:r>
    </w:p>
    <w:p w14:paraId="60AB9ECD" w14:textId="77777777" w:rsidR="004C14C0" w:rsidRDefault="00000000">
      <w:pPr>
        <w:numPr>
          <w:ilvl w:val="0"/>
          <w:numId w:val="1"/>
        </w:numPr>
        <w:ind w:right="0"/>
      </w:pPr>
      <w:r>
        <w:t>предоставление социальных услуг без обеспечения проживания;</w:t>
      </w:r>
    </w:p>
    <w:p w14:paraId="7F66CB28" w14:textId="6DFDE6BB" w:rsidR="00956A26" w:rsidRDefault="00000000">
      <w:pPr>
        <w:numPr>
          <w:ilvl w:val="0"/>
          <w:numId w:val="1"/>
        </w:numPr>
        <w:ind w:right="0"/>
      </w:pPr>
      <w:r>
        <w:t>репетиторство;</w:t>
      </w:r>
    </w:p>
    <w:p w14:paraId="258CC89A" w14:textId="77777777" w:rsidR="00956A26" w:rsidRDefault="00000000">
      <w:pPr>
        <w:numPr>
          <w:ilvl w:val="0"/>
          <w:numId w:val="1"/>
        </w:numPr>
        <w:ind w:right="0"/>
      </w:pPr>
      <w:r>
        <w:t xml:space="preserve">стирка и глаженье постельного белья и другие вещи в домашних хозяйствах граждан, закупка продуктов, мытье посуды и приготовление пищи в домашних хозяйствах граждан, внесение платы из средств обслуживаемого лица за пользование жилым помещением и </w:t>
      </w:r>
      <w:proofErr w:type="spellStart"/>
      <w:r>
        <w:t>жилищнокоммунальные</w:t>
      </w:r>
      <w:proofErr w:type="spellEnd"/>
      <w:r>
        <w:t xml:space="preserve"> услуги, кошение трав, уборка озелененной территории от листьев, скошенной травы и мусора;</w:t>
      </w:r>
    </w:p>
    <w:p w14:paraId="24F87438" w14:textId="77777777" w:rsidR="00956A26" w:rsidRDefault="00000000">
      <w:pPr>
        <w:numPr>
          <w:ilvl w:val="0"/>
          <w:numId w:val="1"/>
        </w:numPr>
        <w:ind w:right="0"/>
      </w:pPr>
      <w:r>
        <w:t>предоставление индивидуальных услуг с помощью автоматов для измерения роста, веса;</w:t>
      </w:r>
    </w:p>
    <w:p w14:paraId="6A8F4BA1" w14:textId="77777777" w:rsidR="00956A26" w:rsidRDefault="00000000">
      <w:pPr>
        <w:numPr>
          <w:ilvl w:val="0"/>
          <w:numId w:val="1"/>
        </w:numPr>
        <w:ind w:right="0"/>
      </w:pPr>
      <w:r>
        <w:t>предоставление услуг по содержанию домашних животных, дрессировке и уходу за ними;</w:t>
      </w:r>
    </w:p>
    <w:p w14:paraId="16553DAD" w14:textId="77777777" w:rsidR="00956A26" w:rsidRDefault="00000000">
      <w:pPr>
        <w:numPr>
          <w:ilvl w:val="0"/>
          <w:numId w:val="1"/>
        </w:numPr>
        <w:ind w:right="0"/>
      </w:pPr>
      <w:r>
        <w:t xml:space="preserve">сдача в аренду (субаренду), наем жилых помещений, садовых домиков, дач, </w:t>
      </w:r>
      <w:proofErr w:type="spellStart"/>
      <w:r>
        <w:t>машино</w:t>
      </w:r>
      <w:proofErr w:type="spellEnd"/>
      <w:r>
        <w:t>-мест (кроме предоставления мест для краткосрочного проживания).</w:t>
      </w:r>
    </w:p>
    <w:p w14:paraId="5F2BD5AF" w14:textId="77777777" w:rsidR="00956A26" w:rsidRDefault="00000000">
      <w:pPr>
        <w:numPr>
          <w:ilvl w:val="0"/>
          <w:numId w:val="1"/>
        </w:numPr>
        <w:ind w:right="0"/>
      </w:pPr>
      <w:r>
        <w:t>виды деятельности, поименованные в подп. 3.1 ст. 337 Кодекса (подп. 2.7 п. 2 ст. 336 Кодекса).</w:t>
      </w:r>
    </w:p>
    <w:p w14:paraId="2FB1917D" w14:textId="77777777" w:rsidR="00956A26" w:rsidRDefault="00000000">
      <w:pPr>
        <w:ind w:left="-15" w:right="0"/>
      </w:pPr>
      <w:r>
        <w:t>С 2023 года из сферы применения единого налога также исключена розничная торговля одеждой из натуральной кожи (пальто, полупальто, куртки, блейзеры, жакеты, жилеты, пиджаки, плащи, костюмы), коврами и ковровыми изделиями, сложными бытовыми электротоварами (подп. 1.2.6 ст. 337 Кодекса).</w:t>
      </w:r>
    </w:p>
    <w:p w14:paraId="4A272600" w14:textId="77777777" w:rsidR="00956A26" w:rsidRDefault="00000000">
      <w:pPr>
        <w:ind w:left="-15" w:right="0"/>
      </w:pPr>
      <w:r>
        <w:t xml:space="preserve">В отношении перечисленных видов деятельности с 01.01.2023 индивидуальным предпринимателям следует перейти на общий порядок налогообложения. </w:t>
      </w:r>
    </w:p>
    <w:p w14:paraId="5AE9B3AD" w14:textId="77777777" w:rsidR="00956A26" w:rsidRDefault="00000000">
      <w:pPr>
        <w:ind w:left="-15" w:right="0"/>
      </w:pPr>
      <w:r>
        <w:t xml:space="preserve">Индивидуальным предпринимателям, которые утрачивают право на применение единого налога с 01.01.2023 в связи с сокращением сферы его применения, но при этом представят налоговую декларацию (расчет) по единому налогу (далее – налоговая декларация) за первый квартал 2023 года, необходимо представить уточненную декларацию по единому налогу за первый квартал 2023 года в срок не позднее 31.01.2023 года. </w:t>
      </w:r>
    </w:p>
    <w:p w14:paraId="529EE058" w14:textId="77777777" w:rsidR="00956A26" w:rsidRDefault="00000000">
      <w:pPr>
        <w:ind w:left="-15" w:right="0"/>
      </w:pPr>
      <w:r>
        <w:t>Право на применение уплаты единого налога сохраняется только при осуществлении:</w:t>
      </w:r>
    </w:p>
    <w:p w14:paraId="38E290ED" w14:textId="77777777" w:rsidR="00DA47AA" w:rsidRDefault="00000000">
      <w:pPr>
        <w:spacing w:after="14" w:line="227" w:lineRule="auto"/>
        <w:ind w:left="704" w:right="927" w:hanging="10"/>
        <w:jc w:val="left"/>
      </w:pPr>
      <w:r>
        <w:t xml:space="preserve">ремонта предметов личного пользования и бытовых изделий; предоставлению мест для краткосрочного проживания; </w:t>
      </w:r>
    </w:p>
    <w:p w14:paraId="045F88EB" w14:textId="77777777" w:rsidR="00DA47AA" w:rsidRDefault="00000000">
      <w:pPr>
        <w:spacing w:after="14" w:line="227" w:lineRule="auto"/>
        <w:ind w:left="704" w:right="927" w:hanging="10"/>
        <w:jc w:val="left"/>
      </w:pPr>
      <w:r>
        <w:t xml:space="preserve">иные виды работ, услуг; </w:t>
      </w:r>
    </w:p>
    <w:p w14:paraId="34116A69" w14:textId="66DE974E" w:rsidR="00956A26" w:rsidRDefault="00000000">
      <w:pPr>
        <w:spacing w:after="14" w:line="227" w:lineRule="auto"/>
        <w:ind w:left="704" w:right="927" w:hanging="10"/>
        <w:jc w:val="left"/>
      </w:pPr>
      <w:r>
        <w:t>розничная торговля товарами.</w:t>
      </w:r>
    </w:p>
    <w:p w14:paraId="1B2BFAD7" w14:textId="77777777" w:rsidR="00956A26" w:rsidRDefault="00000000">
      <w:pPr>
        <w:ind w:left="-15" w:right="0"/>
      </w:pPr>
      <w:r>
        <w:lastRenderedPageBreak/>
        <w:t xml:space="preserve">Вместе с тем, для индивидуальных предпринимателей система уплаты единого налога является добровольным для применения режимом налогообложения. </w:t>
      </w:r>
    </w:p>
    <w:p w14:paraId="0142C288" w14:textId="77777777" w:rsidR="00956A26" w:rsidRDefault="00000000">
      <w:pPr>
        <w:ind w:left="-15" w:right="0"/>
      </w:pPr>
      <w:r>
        <w:t>Соответственно, необходимость применения данного режима налогообложения определяется плательщиками самостоятельно и дает им право перейти с единого налога на общий порядок налогообложения с уплатой подоходного налога.</w:t>
      </w:r>
    </w:p>
    <w:p w14:paraId="792D8643" w14:textId="77777777" w:rsidR="00956A26" w:rsidRDefault="00000000">
      <w:pPr>
        <w:ind w:left="-15" w:right="0"/>
      </w:pPr>
      <w:r>
        <w:t xml:space="preserve">Индивидуальные предприниматели, которые с 01.01.2023 могут продолжить применение единого налога и представили налоговую декларацию за первый квартал 2023 года (уплатили единый налог за первый квартал 2023 года или его часть), но не хотят применять единый налог, вправе перейти на общий порядок налогообложения. Такой переход может быть осуществлен с 1-го числа любого календарного месяца первого квартала, представив уточненную налоговую декларацию за первый квартал 2023 года в срок не позднее 31.01.2023 года. </w:t>
      </w:r>
    </w:p>
    <w:p w14:paraId="6284B4A5" w14:textId="77777777" w:rsidR="00956A26" w:rsidRDefault="00000000">
      <w:pPr>
        <w:ind w:left="-15" w:right="0"/>
      </w:pPr>
      <w:r>
        <w:t xml:space="preserve">Исключением являются индивидуальные предприниматели, осуществляющие деятельность по предоставлению мест для краткосрочного проживания. В отношении такого вида деятельности индивидуальные предприниматели обязаны уплачивать единый налог и </w:t>
      </w:r>
      <w:r>
        <w:rPr>
          <w:b/>
        </w:rPr>
        <w:t>не вправе применять иной порядок налогообложения.</w:t>
      </w:r>
    </w:p>
    <w:p w14:paraId="18131082" w14:textId="77777777" w:rsidR="00956A26" w:rsidRDefault="00000000">
      <w:pPr>
        <w:ind w:left="-15" w:right="0"/>
      </w:pPr>
      <w:r>
        <w:t>Индивидуальные предприниматели, осуществляющие в первом квартале 2023 года деятельность по представлению мест для краткосрочного проживания, обязаны в срок не позднее 31.01.2023 представить в налоговый орган налоговую декларацию по единому налогу за первый квартал 2023 года и произвести уплату единого налога.</w:t>
      </w:r>
    </w:p>
    <w:p w14:paraId="2E6D1AA7" w14:textId="77777777" w:rsidR="00956A26" w:rsidRDefault="00000000">
      <w:pPr>
        <w:ind w:left="-15" w:right="0"/>
      </w:pPr>
      <w:r>
        <w:t>В связи с установлением данной обязанности определен порядок расчета суммы единого налога для случаев выявления фактов уклонения индивидуальными предпринимателями от применения этого режима налогообложения.</w:t>
      </w:r>
    </w:p>
    <w:p w14:paraId="2AA440D3" w14:textId="77777777" w:rsidR="00956A26" w:rsidRDefault="00000000">
      <w:pPr>
        <w:ind w:left="-15" w:right="0"/>
      </w:pPr>
      <w:r>
        <w:t xml:space="preserve">В частности, при выявлении таких фактов впервые единый налог будет определяться исходя из налоговой базы и ставок налога, установленных по месту осуществления деятельности. </w:t>
      </w:r>
    </w:p>
    <w:p w14:paraId="7A57B56B" w14:textId="77777777" w:rsidR="00956A26" w:rsidRDefault="00000000">
      <w:pPr>
        <w:ind w:left="-15" w:right="0"/>
      </w:pPr>
      <w:r>
        <w:t>А при выявлении повторных случаев будет применяться 5-кратное увеличение суммы (т.е. с применением коэффициента 5) (п. 13 ст. 342 Кодекса).</w:t>
      </w:r>
    </w:p>
    <w:p w14:paraId="11D7B0C0" w14:textId="77777777" w:rsidR="00956A26" w:rsidRDefault="00000000">
      <w:pPr>
        <w:ind w:left="-15" w:right="0"/>
      </w:pPr>
      <w:r>
        <w:t>Ставки единого налога для индивидуальных предпринимателей на 2023 год по сравнению с 2022 годом увеличены и установлены в приложении 24 к Кодексу.</w:t>
      </w:r>
    </w:p>
    <w:p w14:paraId="1AA4785D" w14:textId="77777777" w:rsidR="00956A26" w:rsidRDefault="00000000">
      <w:pPr>
        <w:ind w:left="-15" w:right="0"/>
      </w:pPr>
      <w:r>
        <w:t xml:space="preserve">Новые увеличенные ставки применяются при исчислении единого налога, срок уплаты которого наступает после 30.01.2023, т.е. с февраля </w:t>
      </w:r>
      <w:r>
        <w:lastRenderedPageBreak/>
        <w:t xml:space="preserve">2023 года. Единый налог за январь 2023 года исчисляется по ставкам, действующим на 31.12.2022. </w:t>
      </w:r>
    </w:p>
    <w:p w14:paraId="32AA4D9F" w14:textId="57BCA15E" w:rsidR="00956A26" w:rsidRDefault="00000000">
      <w:pPr>
        <w:ind w:left="-15" w:right="0"/>
      </w:pPr>
      <w:r>
        <w:t xml:space="preserve">В срок не позднее 31.01.2023 в связи с изменением размера ставок индивидуальные предприниматели обязаны представить уточненную декларацию по единому налогу за I квартал 2023 года и исчисляют единый налог за февраль-март по новым ставкам. </w:t>
      </w:r>
    </w:p>
    <w:p w14:paraId="7A877A8C" w14:textId="77777777" w:rsidR="000A4BA2" w:rsidRDefault="000A4BA2">
      <w:pPr>
        <w:ind w:left="-15" w:right="0"/>
      </w:pPr>
    </w:p>
    <w:p w14:paraId="5A9DE2B1" w14:textId="77777777" w:rsidR="00956A26" w:rsidRDefault="00000000">
      <w:pPr>
        <w:spacing w:after="13"/>
        <w:ind w:left="704" w:right="0" w:hanging="10"/>
      </w:pPr>
      <w:r>
        <w:rPr>
          <w:b/>
        </w:rPr>
        <w:t xml:space="preserve">Подоходный налог.   </w:t>
      </w:r>
    </w:p>
    <w:p w14:paraId="760E7D95" w14:textId="77777777" w:rsidR="00956A26" w:rsidRDefault="00000000">
      <w:pPr>
        <w:ind w:left="-15" w:right="0"/>
      </w:pPr>
      <w:r>
        <w:t xml:space="preserve">Налоговая база подоходного налога определяется как денежное выражение доходов (выручка от реализации товаров (работ, услуг и внереализационный доход), уменьшенных на сумму расходов, предусмотренных </w:t>
      </w:r>
      <w:hyperlink r:id="rId7">
        <w:r>
          <w:t>статьей</w:t>
        </w:r>
      </w:hyperlink>
      <w:hyperlink r:id="rId8">
        <w:r>
          <w:t xml:space="preserve"> 205</w:t>
        </w:r>
      </w:hyperlink>
      <w:r>
        <w:t xml:space="preserve"> Кодекса (например, расходы по арендной плате за предоставление торгового места; расходы, связанные с приобретением товаров, приобретением и обслуживанием кассового оборудования, оплатой услуг обслуживающего банка и т.д. (п. 4 ст. 199 ст. 205 Кодекса)).</w:t>
      </w:r>
    </w:p>
    <w:p w14:paraId="24F4C2CE" w14:textId="77777777" w:rsidR="00956A26" w:rsidRDefault="00000000">
      <w:pPr>
        <w:ind w:left="-15" w:right="0"/>
      </w:pPr>
      <w:r>
        <w:t>Ставка подоходного налога в отношении доходов индивидуальных предпринимателей, установленная подпунктом 3.1 пункта 3 статьи 214 Кодекса на 2023 год по сравнению с 2022 годом увеличена и составляет 20%.</w:t>
      </w:r>
    </w:p>
    <w:p w14:paraId="5CE20E1C" w14:textId="77777777" w:rsidR="00956A26" w:rsidRDefault="00000000">
      <w:pPr>
        <w:ind w:left="-15" w:right="0"/>
      </w:pPr>
      <w:r>
        <w:t>Индивидуальные предприниматели – плательщики подоходного налога признаются плательщиками налога на добавленную стоимость (далее – НДС), если сумма их выручки от реализации нарастающим итогом с начала года превысит 500 000 белорусских рублей без учета налогов и сборов, уплачиваемых из выручки (ч. 1 подп. 1.1 ст. 113 Кодекса).</w:t>
      </w:r>
    </w:p>
    <w:p w14:paraId="674427A1" w14:textId="77777777" w:rsidR="00956A26" w:rsidRDefault="00000000">
      <w:pPr>
        <w:ind w:left="-15" w:right="0"/>
      </w:pPr>
      <w:r>
        <w:t xml:space="preserve">Согласно подпункту 1.3 пункта 1 статьи 113 Кодекса индивидуальным предпринимателям, применяющим общий порядок налогообложения, </w:t>
      </w:r>
      <w:r>
        <w:rPr>
          <w:b/>
        </w:rPr>
        <w:t>предоставлено право</w:t>
      </w:r>
      <w:r>
        <w:rPr>
          <w:i/>
        </w:rPr>
        <w:t xml:space="preserve"> </w:t>
      </w:r>
      <w:r>
        <w:t xml:space="preserve">признаваться плательщиками НДС независимо от возникновения обстоятельства, указанного в подпункте 1.1 пункта 1 статьи 113 Кодекса. </w:t>
      </w:r>
    </w:p>
    <w:p w14:paraId="3CB13510" w14:textId="77777777" w:rsidR="00956A26" w:rsidRDefault="00000000">
      <w:pPr>
        <w:ind w:left="-15" w:right="0"/>
      </w:pPr>
      <w:r>
        <w:t xml:space="preserve">Для реализации такого права индивидуальному предпринимателю необходимо направить в налоговый орган по месту постановки на учет </w:t>
      </w:r>
      <w:r>
        <w:rPr>
          <w:b/>
        </w:rPr>
        <w:t>уведомление по установленной форме</w:t>
      </w:r>
      <w:r>
        <w:t xml:space="preserve"> о принятом решении об уплате НДС. </w:t>
      </w:r>
    </w:p>
    <w:p w14:paraId="754D7E07" w14:textId="77777777" w:rsidR="00956A26" w:rsidRDefault="00000000">
      <w:pPr>
        <w:ind w:left="-15" w:right="0"/>
      </w:pPr>
      <w:r>
        <w:t xml:space="preserve">Такое уведомление направляется не позднее 20-го числа месяца, с которого будет исчисляться НДС. </w:t>
      </w:r>
    </w:p>
    <w:p w14:paraId="38E8BCDE" w14:textId="77777777" w:rsidR="00956A26" w:rsidRDefault="00000000">
      <w:pPr>
        <w:ind w:left="-15" w:right="0"/>
      </w:pPr>
      <w:r>
        <w:t xml:space="preserve">Так, если индивидуальный предприниматель желает воспользоваться своим правом уплачивать НДС с </w:t>
      </w:r>
      <w:r>
        <w:rPr>
          <w:b/>
        </w:rPr>
        <w:t xml:space="preserve">1 января 2023 года, </w:t>
      </w:r>
      <w:r>
        <w:t xml:space="preserve">то ему необходимо в срок </w:t>
      </w:r>
      <w:r>
        <w:rPr>
          <w:b/>
        </w:rPr>
        <w:t xml:space="preserve">не позднее 20 января 2023 года </w:t>
      </w:r>
      <w:r>
        <w:t xml:space="preserve">направить в налоговый орган по месту постановки на учет уведомление о принятом решении по форме согласно </w:t>
      </w:r>
      <w:r>
        <w:lastRenderedPageBreak/>
        <w:t>приложению 39-4 к постановлению МНС от 03.01.2019 № 2 «Об исчислении и уплате налогов, сборов (пошлин), иных платежей».</w:t>
      </w:r>
    </w:p>
    <w:p w14:paraId="53A260E5" w14:textId="77777777" w:rsidR="00956A26" w:rsidRDefault="00000000">
      <w:pPr>
        <w:ind w:left="-15" w:right="0"/>
      </w:pPr>
      <w:r>
        <w:t xml:space="preserve">Обращаем внимание, что такое уведомление </w:t>
      </w:r>
      <w:r>
        <w:rPr>
          <w:b/>
        </w:rPr>
        <w:t>должны</w:t>
      </w:r>
      <w:r>
        <w:t xml:space="preserve"> направить и те индивидуальные предприниматели, которые признавались плательщиками НДС в 2022 году и приняли решение воспользоваться правом признаваться плательщиками НДС в 2023 году.</w:t>
      </w:r>
    </w:p>
    <w:p w14:paraId="176C1FA3" w14:textId="77777777" w:rsidR="00956A26" w:rsidRDefault="00000000">
      <w:pPr>
        <w:ind w:left="-15" w:right="0"/>
      </w:pPr>
      <w:r>
        <w:t xml:space="preserve">Уведомление налогового органа о принятом решении об уплате НДС иным способом или в иной форме, отличной от установленной законодательством, </w:t>
      </w:r>
      <w:r>
        <w:rPr>
          <w:b/>
        </w:rPr>
        <w:t>не допускается</w:t>
      </w:r>
      <w:r>
        <w:t>.</w:t>
      </w:r>
    </w:p>
    <w:p w14:paraId="2A068004" w14:textId="77777777" w:rsidR="00956A26" w:rsidRDefault="00000000">
      <w:pPr>
        <w:spacing w:after="332"/>
        <w:ind w:left="-15" w:right="0"/>
      </w:pPr>
      <w:r>
        <w:t xml:space="preserve">Следует обратить внимание, что независимо от применяемой системы налогообложения и от того, является ли индивидуальный предприниматель плательщиком НДС, сохраняется </w:t>
      </w:r>
      <w:r>
        <w:rPr>
          <w:b/>
        </w:rPr>
        <w:t>обязанность</w:t>
      </w:r>
      <w:r>
        <w:t xml:space="preserve"> уплачивать НДС при ввозе товаров на территорию Республики Беларусь (подп. 1.2 ст. 115 Кодекса).</w:t>
      </w:r>
    </w:p>
    <w:p w14:paraId="5669DE16" w14:textId="77777777" w:rsidR="00956A26" w:rsidRDefault="00000000">
      <w:pPr>
        <w:spacing w:after="13"/>
        <w:ind w:left="704" w:right="0" w:hanging="10"/>
      </w:pPr>
      <w:r>
        <w:rPr>
          <w:b/>
        </w:rPr>
        <w:t>Упрощенная система налогообложения.</w:t>
      </w:r>
    </w:p>
    <w:p w14:paraId="3679DA85" w14:textId="77777777" w:rsidR="00956A26" w:rsidRDefault="00000000">
      <w:pPr>
        <w:ind w:left="-15" w:right="0"/>
      </w:pPr>
      <w:r>
        <w:t xml:space="preserve">С 1 января 2023 года индивидуальные предприниматели </w:t>
      </w:r>
      <w:r>
        <w:rPr>
          <w:b/>
        </w:rPr>
        <w:t>утрачивают право на применение упрощенной системы налогообложения</w:t>
      </w:r>
      <w:r>
        <w:t xml:space="preserve"> (далее – УСН, п. 1 ст. 324 Кодекса).</w:t>
      </w:r>
    </w:p>
    <w:p w14:paraId="31C5EAAF" w14:textId="72241979" w:rsidR="00956A26" w:rsidRDefault="00000000">
      <w:pPr>
        <w:ind w:left="-15" w:right="0"/>
        <w:rPr>
          <w:b/>
        </w:rPr>
      </w:pPr>
      <w:r>
        <w:t xml:space="preserve">При представлении индивидуальным предпринимателем, применяющим УСН в 2022 году, в налоговый орган налоговой декларации (расчета) по налогу при УСН за 2022 год проставление отметки о прекращении применения УСН законодательством </w:t>
      </w:r>
      <w:r>
        <w:rPr>
          <w:b/>
        </w:rPr>
        <w:t>не предусмотрено.</w:t>
      </w:r>
    </w:p>
    <w:p w14:paraId="6DF22819" w14:textId="77777777" w:rsidR="00F70F5F" w:rsidRDefault="00F70F5F">
      <w:pPr>
        <w:ind w:left="-15" w:right="0"/>
      </w:pPr>
    </w:p>
    <w:p w14:paraId="542D6E86" w14:textId="77777777" w:rsidR="00956A26" w:rsidRDefault="00000000">
      <w:pPr>
        <w:spacing w:after="13"/>
        <w:ind w:left="704" w:right="0" w:hanging="10"/>
      </w:pPr>
      <w:r>
        <w:rPr>
          <w:b/>
        </w:rPr>
        <w:t>Учет.</w:t>
      </w:r>
    </w:p>
    <w:p w14:paraId="6DF5DD2C" w14:textId="77777777" w:rsidR="00956A26" w:rsidRDefault="00000000">
      <w:pPr>
        <w:ind w:left="-15" w:right="0"/>
      </w:pPr>
      <w:r>
        <w:t xml:space="preserve">Индивидуальные предприниматели должны вести учет доходов и расходов, необходимых для исчисления и уплаты налогов. </w:t>
      </w:r>
    </w:p>
    <w:p w14:paraId="0C32E0AA" w14:textId="77777777" w:rsidR="00956A26" w:rsidRDefault="00000000">
      <w:pPr>
        <w:ind w:left="-15" w:right="0"/>
      </w:pPr>
      <w:r>
        <w:t>Формы книг учета и порядок их ведения для плательщиков единого налога и подоходного налога установлены инструкцией о порядке ведения доходов и расходов, утвержденной Постановлением Министерства по налогам и сборам Республики Беларусь от 30.01.2019 № 5.</w:t>
      </w:r>
    </w:p>
    <w:tbl>
      <w:tblPr>
        <w:tblStyle w:val="TableGrid"/>
        <w:tblW w:w="9796" w:type="dxa"/>
        <w:tblInd w:w="-15" w:type="dxa"/>
        <w:tblCellMar>
          <w:top w:w="99" w:type="dxa"/>
          <w:left w:w="111" w:type="dxa"/>
          <w:right w:w="36" w:type="dxa"/>
        </w:tblCellMar>
        <w:tblLook w:val="04A0" w:firstRow="1" w:lastRow="0" w:firstColumn="1" w:lastColumn="0" w:noHBand="0" w:noVBand="1"/>
      </w:tblPr>
      <w:tblGrid>
        <w:gridCol w:w="3349"/>
        <w:gridCol w:w="6447"/>
      </w:tblGrid>
      <w:tr w:rsidR="00956A26" w14:paraId="1692F01F" w14:textId="77777777">
        <w:trPr>
          <w:trHeight w:val="735"/>
        </w:trPr>
        <w:tc>
          <w:tcPr>
            <w:tcW w:w="3349" w:type="dxa"/>
            <w:tcBorders>
              <w:top w:val="single" w:sz="6" w:space="0" w:color="000000"/>
              <w:left w:val="single" w:sz="6" w:space="0" w:color="000000"/>
              <w:bottom w:val="single" w:sz="6" w:space="0" w:color="000000"/>
              <w:right w:val="single" w:sz="6" w:space="0" w:color="000000"/>
            </w:tcBorders>
          </w:tcPr>
          <w:p w14:paraId="16E1A104" w14:textId="77777777" w:rsidR="00956A26" w:rsidRDefault="00000000">
            <w:pPr>
              <w:spacing w:line="259" w:lineRule="auto"/>
              <w:ind w:left="0" w:right="0" w:firstLine="0"/>
              <w:jc w:val="center"/>
            </w:pPr>
            <w:r>
              <w:rPr>
                <w:b/>
              </w:rPr>
              <w:t xml:space="preserve">Система налогообложения (чем </w:t>
            </w:r>
          </w:p>
        </w:tc>
        <w:tc>
          <w:tcPr>
            <w:tcW w:w="6447" w:type="dxa"/>
            <w:tcBorders>
              <w:top w:val="single" w:sz="6" w:space="0" w:color="000000"/>
              <w:left w:val="single" w:sz="6" w:space="0" w:color="000000"/>
              <w:bottom w:val="single" w:sz="6" w:space="0" w:color="000000"/>
              <w:right w:val="single" w:sz="6" w:space="0" w:color="000000"/>
            </w:tcBorders>
            <w:vAlign w:val="center"/>
          </w:tcPr>
          <w:p w14:paraId="68EAE653" w14:textId="77777777" w:rsidR="00956A26" w:rsidRDefault="00000000">
            <w:pPr>
              <w:spacing w:line="259" w:lineRule="auto"/>
              <w:ind w:left="0" w:right="77" w:firstLine="0"/>
              <w:jc w:val="center"/>
            </w:pPr>
            <w:r>
              <w:rPr>
                <w:b/>
              </w:rPr>
              <w:t>Книги учета (формы)</w:t>
            </w:r>
          </w:p>
        </w:tc>
      </w:tr>
    </w:tbl>
    <w:p w14:paraId="1E12934E" w14:textId="77777777" w:rsidR="00956A26" w:rsidRDefault="00956A26">
      <w:pPr>
        <w:spacing w:line="259" w:lineRule="auto"/>
        <w:ind w:left="-1701" w:right="11339" w:firstLine="0"/>
        <w:jc w:val="left"/>
      </w:pPr>
    </w:p>
    <w:tbl>
      <w:tblPr>
        <w:tblStyle w:val="TableGrid"/>
        <w:tblW w:w="9796" w:type="dxa"/>
        <w:tblInd w:w="-15" w:type="dxa"/>
        <w:tblCellMar>
          <w:top w:w="95" w:type="dxa"/>
          <w:left w:w="57" w:type="dxa"/>
        </w:tblCellMar>
        <w:tblLook w:val="04A0" w:firstRow="1" w:lastRow="0" w:firstColumn="1" w:lastColumn="0" w:noHBand="0" w:noVBand="1"/>
      </w:tblPr>
      <w:tblGrid>
        <w:gridCol w:w="3349"/>
        <w:gridCol w:w="6447"/>
      </w:tblGrid>
      <w:tr w:rsidR="00956A26" w14:paraId="482CBBE2" w14:textId="77777777">
        <w:trPr>
          <w:trHeight w:val="1080"/>
        </w:trPr>
        <w:tc>
          <w:tcPr>
            <w:tcW w:w="3349" w:type="dxa"/>
            <w:tcBorders>
              <w:top w:val="single" w:sz="6" w:space="0" w:color="000000"/>
              <w:left w:val="single" w:sz="6" w:space="0" w:color="000000"/>
              <w:bottom w:val="single" w:sz="6" w:space="0" w:color="000000"/>
              <w:right w:val="single" w:sz="6" w:space="0" w:color="000000"/>
            </w:tcBorders>
          </w:tcPr>
          <w:p w14:paraId="49A9DA19" w14:textId="77777777" w:rsidR="00956A26" w:rsidRDefault="00000000">
            <w:pPr>
              <w:spacing w:line="259" w:lineRule="auto"/>
              <w:ind w:left="0" w:right="0" w:firstLine="0"/>
              <w:jc w:val="center"/>
            </w:pPr>
            <w:r>
              <w:rPr>
                <w:b/>
              </w:rPr>
              <w:t>определен порядок ведения учета, заполнения книг)</w:t>
            </w:r>
          </w:p>
        </w:tc>
        <w:tc>
          <w:tcPr>
            <w:tcW w:w="6447" w:type="dxa"/>
            <w:tcBorders>
              <w:top w:val="single" w:sz="6" w:space="0" w:color="000000"/>
              <w:left w:val="single" w:sz="6" w:space="0" w:color="000000"/>
              <w:bottom w:val="single" w:sz="6" w:space="0" w:color="000000"/>
              <w:right w:val="single" w:sz="6" w:space="0" w:color="000000"/>
            </w:tcBorders>
          </w:tcPr>
          <w:p w14:paraId="1420C4DB" w14:textId="77777777" w:rsidR="00956A26" w:rsidRDefault="00956A26">
            <w:pPr>
              <w:spacing w:after="160" w:line="259" w:lineRule="auto"/>
              <w:ind w:left="0" w:right="0" w:firstLine="0"/>
              <w:jc w:val="left"/>
            </w:pPr>
          </w:p>
        </w:tc>
      </w:tr>
      <w:tr w:rsidR="00956A26" w14:paraId="5DA005A5" w14:textId="77777777">
        <w:trPr>
          <w:trHeight w:val="13154"/>
        </w:trPr>
        <w:tc>
          <w:tcPr>
            <w:tcW w:w="3349" w:type="dxa"/>
            <w:tcBorders>
              <w:top w:val="single" w:sz="6" w:space="0" w:color="000000"/>
              <w:left w:val="single" w:sz="6" w:space="0" w:color="000000"/>
              <w:bottom w:val="single" w:sz="6" w:space="0" w:color="000000"/>
              <w:right w:val="single" w:sz="6" w:space="0" w:color="000000"/>
            </w:tcBorders>
          </w:tcPr>
          <w:p w14:paraId="77309B06" w14:textId="77777777" w:rsidR="00956A26" w:rsidRDefault="00000000">
            <w:pPr>
              <w:tabs>
                <w:tab w:val="center" w:pos="837"/>
                <w:tab w:val="center" w:pos="2838"/>
              </w:tabs>
              <w:spacing w:line="259" w:lineRule="auto"/>
              <w:ind w:left="0" w:right="0" w:firstLine="0"/>
              <w:jc w:val="left"/>
            </w:pPr>
            <w:r>
              <w:rPr>
                <w:rFonts w:ascii="Calibri" w:eastAsia="Calibri" w:hAnsi="Calibri" w:cs="Calibri"/>
                <w:sz w:val="22"/>
              </w:rPr>
              <w:lastRenderedPageBreak/>
              <w:tab/>
            </w:r>
            <w:r>
              <w:rPr>
                <w:b/>
              </w:rPr>
              <w:t xml:space="preserve">подоходный </w:t>
            </w:r>
            <w:r>
              <w:rPr>
                <w:b/>
              </w:rPr>
              <w:tab/>
              <w:t xml:space="preserve">налог </w:t>
            </w:r>
          </w:p>
          <w:p w14:paraId="1EB831CA" w14:textId="77777777" w:rsidR="00956A26" w:rsidRDefault="00000000">
            <w:pPr>
              <w:spacing w:line="238" w:lineRule="auto"/>
              <w:ind w:left="0" w:right="61" w:firstLine="0"/>
            </w:pPr>
            <w:r>
              <w:t xml:space="preserve">(инструкцией о порядке ведения доходов и расходов, утвержденной </w:t>
            </w:r>
          </w:p>
          <w:p w14:paraId="1B5AC88F" w14:textId="77777777" w:rsidR="00956A26" w:rsidRDefault="00000000">
            <w:pPr>
              <w:spacing w:line="259" w:lineRule="auto"/>
              <w:ind w:left="0" w:right="0" w:firstLine="0"/>
              <w:jc w:val="left"/>
            </w:pPr>
            <w:r>
              <w:t xml:space="preserve">Постановлением </w:t>
            </w:r>
          </w:p>
          <w:p w14:paraId="04CCD5F1" w14:textId="77777777" w:rsidR="00956A26" w:rsidRDefault="00000000">
            <w:pPr>
              <w:spacing w:line="238" w:lineRule="auto"/>
              <w:ind w:left="0" w:right="0" w:firstLine="0"/>
            </w:pPr>
            <w:r>
              <w:t xml:space="preserve">Министерства по налогам и сборам </w:t>
            </w:r>
          </w:p>
          <w:p w14:paraId="413836AC" w14:textId="77777777" w:rsidR="00956A26" w:rsidRDefault="00000000">
            <w:pPr>
              <w:spacing w:line="259" w:lineRule="auto"/>
              <w:ind w:left="0" w:right="0" w:firstLine="0"/>
            </w:pPr>
            <w:r>
              <w:t xml:space="preserve">Республики Беларусь от </w:t>
            </w:r>
          </w:p>
          <w:p w14:paraId="24964033" w14:textId="77777777" w:rsidR="00956A26" w:rsidRDefault="00000000">
            <w:pPr>
              <w:spacing w:line="259" w:lineRule="auto"/>
              <w:ind w:left="0" w:right="0" w:firstLine="0"/>
            </w:pPr>
            <w:r>
              <w:t>30.01.2019 № 5 (далее – Инструкция № 5))</w:t>
            </w:r>
          </w:p>
        </w:tc>
        <w:tc>
          <w:tcPr>
            <w:tcW w:w="6447" w:type="dxa"/>
            <w:tcBorders>
              <w:top w:val="single" w:sz="6" w:space="0" w:color="000000"/>
              <w:left w:val="single" w:sz="6" w:space="0" w:color="000000"/>
              <w:bottom w:val="single" w:sz="6" w:space="0" w:color="000000"/>
              <w:right w:val="single" w:sz="6" w:space="0" w:color="000000"/>
            </w:tcBorders>
          </w:tcPr>
          <w:p w14:paraId="3329A498" w14:textId="77777777" w:rsidR="00956A26" w:rsidRDefault="00000000">
            <w:pPr>
              <w:spacing w:line="239" w:lineRule="auto"/>
              <w:ind w:left="10" w:right="80" w:firstLine="0"/>
            </w:pPr>
            <w:r>
              <w:t xml:space="preserve">Учет доходов и расходов индивидуальные предприниматели ведут в книге </w:t>
            </w:r>
            <w:r>
              <w:rPr>
                <w:b/>
              </w:rPr>
              <w:t xml:space="preserve">учета доходов и расходов </w:t>
            </w:r>
            <w:r>
              <w:t xml:space="preserve">индивидуальных предпринимателей и других </w:t>
            </w:r>
            <w:r>
              <w:rPr>
                <w:b/>
              </w:rPr>
              <w:t>книгах учета</w:t>
            </w:r>
            <w:r>
              <w:t>:</w:t>
            </w:r>
          </w:p>
          <w:p w14:paraId="5F9C1A4F" w14:textId="77777777" w:rsidR="00956A26" w:rsidRDefault="00000000">
            <w:pPr>
              <w:numPr>
                <w:ilvl w:val="0"/>
                <w:numId w:val="2"/>
              </w:numPr>
              <w:spacing w:line="259" w:lineRule="auto"/>
              <w:ind w:right="0" w:firstLine="0"/>
              <w:jc w:val="left"/>
            </w:pPr>
            <w:r>
              <w:t>книге учета товаров (готовой продукции);</w:t>
            </w:r>
          </w:p>
          <w:p w14:paraId="02AA204B" w14:textId="77777777" w:rsidR="00956A26" w:rsidRDefault="00000000">
            <w:pPr>
              <w:numPr>
                <w:ilvl w:val="0"/>
                <w:numId w:val="2"/>
              </w:numPr>
              <w:spacing w:line="259" w:lineRule="auto"/>
              <w:ind w:right="0" w:firstLine="0"/>
              <w:jc w:val="left"/>
            </w:pPr>
            <w:r>
              <w:t>книге суммового учета товаров;</w:t>
            </w:r>
          </w:p>
          <w:p w14:paraId="53A59DAF" w14:textId="77777777" w:rsidR="00956A26" w:rsidRDefault="00000000">
            <w:pPr>
              <w:numPr>
                <w:ilvl w:val="0"/>
                <w:numId w:val="2"/>
              </w:numPr>
              <w:spacing w:line="259" w:lineRule="auto"/>
              <w:ind w:right="0" w:firstLine="0"/>
              <w:jc w:val="left"/>
            </w:pPr>
            <w:r>
              <w:t>книге учета основных средств;</w:t>
            </w:r>
          </w:p>
          <w:p w14:paraId="139F2483" w14:textId="77777777" w:rsidR="00956A26" w:rsidRDefault="00000000">
            <w:pPr>
              <w:numPr>
                <w:ilvl w:val="0"/>
                <w:numId w:val="2"/>
              </w:numPr>
              <w:spacing w:line="259" w:lineRule="auto"/>
              <w:ind w:right="0" w:firstLine="0"/>
              <w:jc w:val="left"/>
            </w:pPr>
            <w:r>
              <w:t>книге учета нематериальных активов;</w:t>
            </w:r>
          </w:p>
          <w:p w14:paraId="5B486937" w14:textId="77777777" w:rsidR="00956A26" w:rsidRDefault="00000000">
            <w:pPr>
              <w:numPr>
                <w:ilvl w:val="0"/>
                <w:numId w:val="2"/>
              </w:numPr>
              <w:spacing w:line="238" w:lineRule="auto"/>
              <w:ind w:right="0" w:firstLine="0"/>
              <w:jc w:val="left"/>
            </w:pPr>
            <w:r>
              <w:t>книге учета отдельных предметов в составе оборотных средств;</w:t>
            </w:r>
          </w:p>
          <w:p w14:paraId="03F94298" w14:textId="77777777" w:rsidR="00956A26" w:rsidRDefault="00000000">
            <w:pPr>
              <w:numPr>
                <w:ilvl w:val="0"/>
                <w:numId w:val="2"/>
              </w:numPr>
              <w:spacing w:after="2" w:line="238" w:lineRule="auto"/>
              <w:ind w:right="0" w:firstLine="0"/>
              <w:jc w:val="left"/>
            </w:pPr>
            <w:r>
              <w:t>книге учета сырья и материалов (п. 13 Инструкции N 5).</w:t>
            </w:r>
          </w:p>
          <w:p w14:paraId="0C7C6C02" w14:textId="77777777" w:rsidR="00956A26" w:rsidRDefault="00000000">
            <w:pPr>
              <w:spacing w:after="40" w:line="239" w:lineRule="auto"/>
              <w:ind w:left="38" w:right="143" w:firstLine="0"/>
            </w:pPr>
            <w:r>
              <w:t xml:space="preserve">Данные из </w:t>
            </w:r>
            <w:r>
              <w:rPr>
                <w:b/>
              </w:rPr>
              <w:t>книг учета</w:t>
            </w:r>
            <w:r>
              <w:t xml:space="preserve"> переносят в соответствующие графы </w:t>
            </w:r>
            <w:r>
              <w:rPr>
                <w:b/>
              </w:rPr>
              <w:t xml:space="preserve">книги учета доходов и расходов </w:t>
            </w:r>
            <w:r>
              <w:t>индивидуальны предпринимателей.</w:t>
            </w:r>
          </w:p>
          <w:p w14:paraId="1C483157" w14:textId="77777777" w:rsidR="00956A26" w:rsidRDefault="00000000">
            <w:pPr>
              <w:tabs>
                <w:tab w:val="center" w:pos="1463"/>
                <w:tab w:val="center" w:pos="6160"/>
              </w:tabs>
              <w:spacing w:line="259" w:lineRule="auto"/>
              <w:ind w:left="0" w:right="0" w:firstLine="0"/>
              <w:jc w:val="left"/>
            </w:pPr>
            <w:r>
              <w:rPr>
                <w:rFonts w:ascii="Calibri" w:eastAsia="Calibri" w:hAnsi="Calibri" w:cs="Calibri"/>
                <w:sz w:val="22"/>
              </w:rPr>
              <w:tab/>
            </w:r>
            <w:r>
              <w:rPr>
                <w:b/>
              </w:rPr>
              <w:t xml:space="preserve">Книгу учета доходов </w:t>
            </w:r>
            <w:r>
              <w:rPr>
                <w:b/>
              </w:rPr>
              <w:tab/>
              <w:t xml:space="preserve">и </w:t>
            </w:r>
          </w:p>
          <w:p w14:paraId="18999B51" w14:textId="77777777" w:rsidR="00956A26" w:rsidRDefault="00000000">
            <w:pPr>
              <w:spacing w:line="238" w:lineRule="auto"/>
              <w:ind w:left="38" w:right="143" w:firstLine="0"/>
            </w:pPr>
            <w:r>
              <w:rPr>
                <w:b/>
              </w:rPr>
              <w:t xml:space="preserve">расходов </w:t>
            </w:r>
            <w:r>
              <w:t>индивидуальных предпринимателей используют для исчисления налоговой базы подоходного налога.</w:t>
            </w:r>
          </w:p>
          <w:p w14:paraId="57E83B8E" w14:textId="77777777" w:rsidR="00956A26" w:rsidRDefault="00000000">
            <w:pPr>
              <w:spacing w:line="239" w:lineRule="auto"/>
              <w:ind w:left="38" w:right="143" w:firstLine="0"/>
            </w:pPr>
            <w:r>
              <w:t xml:space="preserve">Кроме того, индивидуальные предприниматели отражают сведения о доходах, начисленных физлицам, которых они привлекают к своей деятельности по трудовым и (или) </w:t>
            </w:r>
            <w:proofErr w:type="spellStart"/>
            <w:r>
              <w:t>гражданскоправовым</w:t>
            </w:r>
            <w:proofErr w:type="spellEnd"/>
            <w:r>
              <w:t xml:space="preserve"> договорам, а также о подоходном налоге с этих доходов в книге </w:t>
            </w:r>
            <w:r>
              <w:rPr>
                <w:b/>
              </w:rPr>
              <w:t>учета обязательств налоговым агентом</w:t>
            </w:r>
            <w:r>
              <w:t xml:space="preserve"> (п. </w:t>
            </w:r>
          </w:p>
          <w:p w14:paraId="03419B38" w14:textId="77777777" w:rsidR="00956A26" w:rsidRDefault="00000000">
            <w:pPr>
              <w:spacing w:line="259" w:lineRule="auto"/>
              <w:ind w:left="38" w:right="0" w:firstLine="0"/>
              <w:jc w:val="left"/>
            </w:pPr>
            <w:r>
              <w:t>99, 100, 102 Инструкции N 5).</w:t>
            </w:r>
          </w:p>
          <w:p w14:paraId="06EC64A6" w14:textId="77777777" w:rsidR="00956A26" w:rsidRDefault="00000000">
            <w:pPr>
              <w:spacing w:line="259" w:lineRule="auto"/>
              <w:ind w:left="38" w:right="0" w:firstLine="0"/>
              <w:jc w:val="left"/>
            </w:pPr>
            <w:r>
              <w:t xml:space="preserve"> </w:t>
            </w:r>
          </w:p>
          <w:p w14:paraId="35DDFBB7" w14:textId="77777777" w:rsidR="00956A26" w:rsidRDefault="00000000">
            <w:pPr>
              <w:spacing w:line="259" w:lineRule="auto"/>
              <w:ind w:left="38" w:right="0" w:firstLine="0"/>
              <w:jc w:val="left"/>
            </w:pPr>
            <w:r>
              <w:rPr>
                <w:b/>
                <w:i/>
              </w:rPr>
              <w:t>Примечание</w:t>
            </w:r>
          </w:p>
          <w:p w14:paraId="200E69EC" w14:textId="77777777" w:rsidR="00956A26" w:rsidRDefault="00000000">
            <w:pPr>
              <w:spacing w:line="238" w:lineRule="auto"/>
              <w:ind w:left="38" w:right="143" w:firstLine="0"/>
            </w:pPr>
            <w:r>
              <w:rPr>
                <w:i/>
              </w:rPr>
              <w:t>Необходимость ведения определенных книг учета устанавливается индивидуальным предпринимателем исходя из специфики его деятельности (</w:t>
            </w:r>
            <w:r>
              <w:t xml:space="preserve">ч. 4 п. 13 </w:t>
            </w:r>
            <w:r>
              <w:rPr>
                <w:i/>
              </w:rPr>
              <w:t>Инструкции N 5).</w:t>
            </w:r>
          </w:p>
          <w:p w14:paraId="6402541B" w14:textId="77777777" w:rsidR="00956A26" w:rsidRDefault="00000000">
            <w:pPr>
              <w:spacing w:after="10" w:line="259" w:lineRule="auto"/>
              <w:ind w:left="38" w:right="0" w:firstLine="0"/>
              <w:jc w:val="left"/>
            </w:pPr>
            <w:r>
              <w:t xml:space="preserve"> </w:t>
            </w:r>
          </w:p>
          <w:p w14:paraId="486173B0" w14:textId="77777777" w:rsidR="00956A26" w:rsidRDefault="00000000">
            <w:pPr>
              <w:spacing w:line="259" w:lineRule="auto"/>
              <w:ind w:left="38" w:right="0" w:firstLine="0"/>
              <w:jc w:val="left"/>
            </w:pPr>
            <w:r>
              <w:rPr>
                <w:b/>
                <w:i/>
              </w:rPr>
              <w:t xml:space="preserve">Плательщики </w:t>
            </w:r>
            <w:r>
              <w:rPr>
                <w:b/>
                <w:i/>
              </w:rPr>
              <w:tab/>
              <w:t>НДС</w:t>
            </w:r>
            <w:r>
              <w:t xml:space="preserve"> </w:t>
            </w:r>
            <w:r>
              <w:rPr>
                <w:i/>
              </w:rPr>
              <w:t>также ведут</w:t>
            </w:r>
            <w:r>
              <w:t xml:space="preserve"> книгу </w:t>
            </w:r>
            <w:r>
              <w:rPr>
                <w:i/>
              </w:rPr>
              <w:t xml:space="preserve">учета </w:t>
            </w:r>
            <w:r>
              <w:rPr>
                <w:i/>
              </w:rPr>
              <w:tab/>
              <w:t xml:space="preserve">сумм </w:t>
            </w:r>
            <w:r>
              <w:rPr>
                <w:i/>
              </w:rPr>
              <w:tab/>
              <w:t xml:space="preserve">налога </w:t>
            </w:r>
            <w:r>
              <w:rPr>
                <w:i/>
              </w:rPr>
              <w:tab/>
              <w:t>на добавленную стоимость (</w:t>
            </w:r>
            <w:r>
              <w:t xml:space="preserve">п. 91 </w:t>
            </w:r>
            <w:r>
              <w:rPr>
                <w:i/>
              </w:rPr>
              <w:t>Инструкции N 5)</w:t>
            </w:r>
          </w:p>
        </w:tc>
      </w:tr>
    </w:tbl>
    <w:p w14:paraId="5F057B8F" w14:textId="77777777" w:rsidR="00956A26" w:rsidRDefault="00956A26">
      <w:pPr>
        <w:spacing w:line="259" w:lineRule="auto"/>
        <w:ind w:left="-1701" w:right="11339" w:firstLine="0"/>
        <w:jc w:val="left"/>
      </w:pPr>
    </w:p>
    <w:tbl>
      <w:tblPr>
        <w:tblStyle w:val="TableGrid"/>
        <w:tblW w:w="9796" w:type="dxa"/>
        <w:tblInd w:w="-15" w:type="dxa"/>
        <w:tblCellMar>
          <w:top w:w="95" w:type="dxa"/>
          <w:left w:w="57" w:type="dxa"/>
          <w:right w:w="3" w:type="dxa"/>
        </w:tblCellMar>
        <w:tblLook w:val="04A0" w:firstRow="1" w:lastRow="0" w:firstColumn="1" w:lastColumn="0" w:noHBand="0" w:noVBand="1"/>
      </w:tblPr>
      <w:tblGrid>
        <w:gridCol w:w="3349"/>
        <w:gridCol w:w="6447"/>
      </w:tblGrid>
      <w:tr w:rsidR="00956A26" w14:paraId="437BB139" w14:textId="77777777">
        <w:trPr>
          <w:trHeight w:val="1425"/>
        </w:trPr>
        <w:tc>
          <w:tcPr>
            <w:tcW w:w="3349" w:type="dxa"/>
            <w:tcBorders>
              <w:top w:val="single" w:sz="6" w:space="0" w:color="000000"/>
              <w:left w:val="single" w:sz="6" w:space="0" w:color="000000"/>
              <w:bottom w:val="single" w:sz="6" w:space="0" w:color="000000"/>
              <w:right w:val="single" w:sz="6" w:space="0" w:color="000000"/>
            </w:tcBorders>
          </w:tcPr>
          <w:p w14:paraId="7061F703" w14:textId="77777777" w:rsidR="00956A26" w:rsidRDefault="00956A26">
            <w:pPr>
              <w:spacing w:after="160" w:line="259" w:lineRule="auto"/>
              <w:ind w:left="0" w:right="0" w:firstLine="0"/>
              <w:jc w:val="left"/>
            </w:pPr>
          </w:p>
        </w:tc>
        <w:tc>
          <w:tcPr>
            <w:tcW w:w="6447" w:type="dxa"/>
            <w:tcBorders>
              <w:top w:val="single" w:sz="6" w:space="0" w:color="000000"/>
              <w:left w:val="single" w:sz="6" w:space="0" w:color="000000"/>
              <w:bottom w:val="single" w:sz="6" w:space="0" w:color="000000"/>
              <w:right w:val="single" w:sz="6" w:space="0" w:color="000000"/>
            </w:tcBorders>
          </w:tcPr>
          <w:p w14:paraId="794E14AA" w14:textId="77777777" w:rsidR="00956A26" w:rsidRDefault="00000000">
            <w:pPr>
              <w:spacing w:line="259" w:lineRule="auto"/>
              <w:ind w:left="38" w:right="140" w:firstLine="0"/>
            </w:pPr>
            <w:r>
              <w:t>Книга учета сумм НДС по форме приложения № 11 также заполняется при ввозе товаров из стран ЕАЭС</w:t>
            </w:r>
          </w:p>
        </w:tc>
      </w:tr>
      <w:tr w:rsidR="00956A26" w14:paraId="19ADE805" w14:textId="77777777">
        <w:trPr>
          <w:trHeight w:val="2805"/>
        </w:trPr>
        <w:tc>
          <w:tcPr>
            <w:tcW w:w="3349" w:type="dxa"/>
            <w:tcBorders>
              <w:top w:val="single" w:sz="6" w:space="0" w:color="000000"/>
              <w:left w:val="single" w:sz="6" w:space="0" w:color="000000"/>
              <w:bottom w:val="single" w:sz="6" w:space="0" w:color="000000"/>
              <w:right w:val="single" w:sz="6" w:space="0" w:color="000000"/>
            </w:tcBorders>
          </w:tcPr>
          <w:p w14:paraId="7B4AAE19" w14:textId="77777777" w:rsidR="00956A26" w:rsidRDefault="00000000">
            <w:pPr>
              <w:spacing w:line="259" w:lineRule="auto"/>
              <w:ind w:left="0" w:right="132" w:firstLine="0"/>
              <w:jc w:val="left"/>
            </w:pPr>
            <w:r>
              <w:rPr>
                <w:b/>
              </w:rPr>
              <w:t>Единый налог</w:t>
            </w:r>
            <w:r>
              <w:t xml:space="preserve"> (Инструкция N 5)</w:t>
            </w:r>
          </w:p>
        </w:tc>
        <w:tc>
          <w:tcPr>
            <w:tcW w:w="6447" w:type="dxa"/>
            <w:tcBorders>
              <w:top w:val="single" w:sz="6" w:space="0" w:color="000000"/>
              <w:left w:val="single" w:sz="6" w:space="0" w:color="000000"/>
              <w:bottom w:val="single" w:sz="6" w:space="0" w:color="000000"/>
              <w:right w:val="single" w:sz="6" w:space="0" w:color="000000"/>
            </w:tcBorders>
          </w:tcPr>
          <w:p w14:paraId="7B05DF7A" w14:textId="77777777" w:rsidR="00956A26" w:rsidRDefault="00000000">
            <w:pPr>
              <w:spacing w:line="238" w:lineRule="auto"/>
              <w:ind w:left="24" w:right="77" w:firstLine="0"/>
            </w:pPr>
            <w:r>
              <w:t xml:space="preserve">Учет выручки индивидуальные предприниматели ведут в книге учета валовой выручки от реализации товаров (работ, услуг) </w:t>
            </w:r>
          </w:p>
          <w:p w14:paraId="2B5B48D4" w14:textId="77777777" w:rsidR="00956A26" w:rsidRDefault="00000000">
            <w:pPr>
              <w:spacing w:line="259" w:lineRule="auto"/>
              <w:ind w:left="24" w:right="0" w:firstLine="0"/>
              <w:jc w:val="left"/>
            </w:pPr>
            <w:r>
              <w:t>(п. 17 Инструкции N 5)</w:t>
            </w:r>
          </w:p>
          <w:p w14:paraId="6805AA14" w14:textId="77777777" w:rsidR="00956A26" w:rsidRDefault="00000000">
            <w:pPr>
              <w:spacing w:line="259" w:lineRule="auto"/>
              <w:ind w:left="24" w:right="0" w:firstLine="0"/>
            </w:pPr>
            <w:r>
              <w:t xml:space="preserve">Книга учета сумм НДС по форме приложения </w:t>
            </w:r>
          </w:p>
          <w:p w14:paraId="3C5AC2E4" w14:textId="77777777" w:rsidR="00956A26" w:rsidRDefault="00000000">
            <w:pPr>
              <w:spacing w:line="259" w:lineRule="auto"/>
              <w:ind w:left="24" w:right="0" w:firstLine="0"/>
            </w:pPr>
            <w:r>
              <w:t xml:space="preserve">№ 11 заполняется при ввозе товаров из стран </w:t>
            </w:r>
          </w:p>
          <w:p w14:paraId="00F387D0" w14:textId="77777777" w:rsidR="00956A26" w:rsidRDefault="00000000">
            <w:pPr>
              <w:spacing w:line="259" w:lineRule="auto"/>
              <w:ind w:left="24" w:right="0" w:firstLine="0"/>
              <w:jc w:val="left"/>
            </w:pPr>
            <w:r>
              <w:t>ЕАЭС</w:t>
            </w:r>
          </w:p>
        </w:tc>
      </w:tr>
    </w:tbl>
    <w:p w14:paraId="3FAAB6CC" w14:textId="77777777" w:rsidR="00AA544A" w:rsidRDefault="00AA544A"/>
    <w:sectPr w:rsidR="00AA544A">
      <w:headerReference w:type="even" r:id="rId9"/>
      <w:headerReference w:type="default" r:id="rId10"/>
      <w:headerReference w:type="first" r:id="rId11"/>
      <w:pgSz w:w="11906" w:h="16838"/>
      <w:pgMar w:top="1142" w:right="567" w:bottom="1162"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F0F65" w14:textId="77777777" w:rsidR="00F0543B" w:rsidRDefault="00F0543B">
      <w:pPr>
        <w:spacing w:line="240" w:lineRule="auto"/>
      </w:pPr>
      <w:r>
        <w:separator/>
      </w:r>
    </w:p>
  </w:endnote>
  <w:endnote w:type="continuationSeparator" w:id="0">
    <w:p w14:paraId="4CBF4BF8" w14:textId="77777777" w:rsidR="00F0543B" w:rsidRDefault="00F054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680F2" w14:textId="77777777" w:rsidR="00F0543B" w:rsidRDefault="00F0543B">
      <w:pPr>
        <w:spacing w:line="240" w:lineRule="auto"/>
      </w:pPr>
      <w:r>
        <w:separator/>
      </w:r>
    </w:p>
  </w:footnote>
  <w:footnote w:type="continuationSeparator" w:id="0">
    <w:p w14:paraId="73420B1F" w14:textId="77777777" w:rsidR="00F0543B" w:rsidRDefault="00F054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1576E" w14:textId="77777777" w:rsidR="00956A26" w:rsidRDefault="00000000">
    <w:pPr>
      <w:spacing w:line="259" w:lineRule="auto"/>
      <w:ind w:left="0" w:right="-1" w:firstLine="0"/>
      <w:jc w:val="right"/>
    </w:pP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A8325" w14:textId="77777777" w:rsidR="00956A26" w:rsidRDefault="00000000">
    <w:pPr>
      <w:spacing w:line="259" w:lineRule="auto"/>
      <w:ind w:left="0" w:right="-1" w:firstLine="0"/>
      <w:jc w:val="right"/>
    </w:pPr>
    <w:r>
      <w:fldChar w:fldCharType="begin"/>
    </w:r>
    <w:r>
      <w:instrText xml:space="preserve"> PAGE   \* MERGEFORMAT </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8C754" w14:textId="77777777" w:rsidR="00956A26" w:rsidRDefault="00956A26">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F2FBE"/>
    <w:multiLevelType w:val="hybridMultilevel"/>
    <w:tmpl w:val="79D8BCC2"/>
    <w:lvl w:ilvl="0" w:tplc="0EE607EC">
      <w:start w:val="1"/>
      <w:numFmt w:val="bullet"/>
      <w:lvlText w:val="-"/>
      <w:lvlJc w:val="left"/>
      <w:pPr>
        <w:ind w:left="0"/>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1" w:tplc="4888E052">
      <w:start w:val="1"/>
      <w:numFmt w:val="bullet"/>
      <w:lvlText w:val="o"/>
      <w:lvlJc w:val="left"/>
      <w:pPr>
        <w:ind w:left="1789"/>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2" w:tplc="486EF370">
      <w:start w:val="1"/>
      <w:numFmt w:val="bullet"/>
      <w:lvlText w:val="▪"/>
      <w:lvlJc w:val="left"/>
      <w:pPr>
        <w:ind w:left="2509"/>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3" w:tplc="AF2A7126">
      <w:start w:val="1"/>
      <w:numFmt w:val="bullet"/>
      <w:lvlText w:val="•"/>
      <w:lvlJc w:val="left"/>
      <w:pPr>
        <w:ind w:left="3229"/>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4" w:tplc="3BF6C50E">
      <w:start w:val="1"/>
      <w:numFmt w:val="bullet"/>
      <w:lvlText w:val="o"/>
      <w:lvlJc w:val="left"/>
      <w:pPr>
        <w:ind w:left="3949"/>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5" w:tplc="44E0C390">
      <w:start w:val="1"/>
      <w:numFmt w:val="bullet"/>
      <w:lvlText w:val="▪"/>
      <w:lvlJc w:val="left"/>
      <w:pPr>
        <w:ind w:left="4669"/>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6" w:tplc="006EE908">
      <w:start w:val="1"/>
      <w:numFmt w:val="bullet"/>
      <w:lvlText w:val="•"/>
      <w:lvlJc w:val="left"/>
      <w:pPr>
        <w:ind w:left="5389"/>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7" w:tplc="7CF40D5A">
      <w:start w:val="1"/>
      <w:numFmt w:val="bullet"/>
      <w:lvlText w:val="o"/>
      <w:lvlJc w:val="left"/>
      <w:pPr>
        <w:ind w:left="6109"/>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8" w:tplc="AE3CC610">
      <w:start w:val="1"/>
      <w:numFmt w:val="bullet"/>
      <w:lvlText w:val="▪"/>
      <w:lvlJc w:val="left"/>
      <w:pPr>
        <w:ind w:left="6829"/>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abstractNum>
  <w:abstractNum w:abstractNumId="1" w15:restartNumberingAfterBreak="0">
    <w:nsid w:val="7F5A7D38"/>
    <w:multiLevelType w:val="hybridMultilevel"/>
    <w:tmpl w:val="5350B380"/>
    <w:lvl w:ilvl="0" w:tplc="EA2670E4">
      <w:start w:val="1"/>
      <w:numFmt w:val="bullet"/>
      <w:lvlText w:val="-"/>
      <w:lvlJc w:val="left"/>
      <w:pPr>
        <w:ind w:left="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730E6F12">
      <w:start w:val="1"/>
      <w:numFmt w:val="bullet"/>
      <w:lvlText w:val="o"/>
      <w:lvlJc w:val="left"/>
      <w:pPr>
        <w:ind w:left="11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90F696DA">
      <w:start w:val="1"/>
      <w:numFmt w:val="bullet"/>
      <w:lvlText w:val="▪"/>
      <w:lvlJc w:val="left"/>
      <w:pPr>
        <w:ind w:left="18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E40B4B2">
      <w:start w:val="1"/>
      <w:numFmt w:val="bullet"/>
      <w:lvlText w:val="•"/>
      <w:lvlJc w:val="left"/>
      <w:pPr>
        <w:ind w:left="25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7669C2E">
      <w:start w:val="1"/>
      <w:numFmt w:val="bullet"/>
      <w:lvlText w:val="o"/>
      <w:lvlJc w:val="left"/>
      <w:pPr>
        <w:ind w:left="33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0ACA3D2">
      <w:start w:val="1"/>
      <w:numFmt w:val="bullet"/>
      <w:lvlText w:val="▪"/>
      <w:lvlJc w:val="left"/>
      <w:pPr>
        <w:ind w:left="40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C5E3E2C">
      <w:start w:val="1"/>
      <w:numFmt w:val="bullet"/>
      <w:lvlText w:val="•"/>
      <w:lvlJc w:val="left"/>
      <w:pPr>
        <w:ind w:left="47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118AD92">
      <w:start w:val="1"/>
      <w:numFmt w:val="bullet"/>
      <w:lvlText w:val="o"/>
      <w:lvlJc w:val="left"/>
      <w:pPr>
        <w:ind w:left="54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2BD4D304">
      <w:start w:val="1"/>
      <w:numFmt w:val="bullet"/>
      <w:lvlText w:val="▪"/>
      <w:lvlJc w:val="left"/>
      <w:pPr>
        <w:ind w:left="61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16cid:durableId="530344536">
    <w:abstractNumId w:val="0"/>
  </w:num>
  <w:num w:numId="2" w16cid:durableId="1298951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A26"/>
    <w:rsid w:val="000A4BA2"/>
    <w:rsid w:val="00106811"/>
    <w:rsid w:val="003747E8"/>
    <w:rsid w:val="004C14C0"/>
    <w:rsid w:val="00956A26"/>
    <w:rsid w:val="00AA544A"/>
    <w:rsid w:val="00DA47AA"/>
    <w:rsid w:val="00F0543B"/>
    <w:rsid w:val="00F70F5F"/>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9109A"/>
  <w15:docId w15:val="{563AD5AB-409D-442A-A051-9AF004782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BY" w:eastAsia="ru-B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9" w:lineRule="auto"/>
      <w:ind w:left="4785" w:right="840" w:firstLine="699"/>
      <w:jc w:val="both"/>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consultantplus://offline/ref=5436108E09C43212408BC8E860F5AA4DEC87ACC93B5C20013EBA90F0183E135272BBCCFA12DBB0B97D711221F28E3130B511E070D013039E9E405999B2y3tF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436108E09C43212408BC8E860F5AA4DEC87ACC93B5C20013EBA90F0183E135272BBCCFA12DBB0B97D711221F28E3130B511E070D013039E9E405999B2y3tF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1856</Words>
  <Characters>10582</Characters>
  <Application>Microsoft Office Word</Application>
  <DocSecurity>0</DocSecurity>
  <Lines>88</Lines>
  <Paragraphs>24</Paragraphs>
  <ScaleCrop>false</ScaleCrop>
  <Company/>
  <LinksUpToDate>false</LinksUpToDate>
  <CharactersWithSpaces>12414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МIНIСТЭРСТВА</dc:title>
  <dc:subject/>
  <dc:creator>user</dc:creator>
  <cp:keywords/>
  <cp:lastModifiedBy>Михно Ирина Семеновна</cp:lastModifiedBy>
  <cp:revision>6</cp:revision>
  <dcterms:created xsi:type="dcterms:W3CDTF">2023-01-12T06:25:00Z</dcterms:created>
  <dcterms:modified xsi:type="dcterms:W3CDTF">2023-01-12T11:36:00Z</dcterms:modified>
</cp:coreProperties>
</file>