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FF621" w14:textId="77777777" w:rsidR="004F1DEF" w:rsidRDefault="00000000">
      <w:pPr>
        <w:spacing w:after="487"/>
        <w:ind w:left="-15" w:right="0" w:firstLine="0"/>
      </w:pPr>
      <w:r>
        <w:t xml:space="preserve">О разъяснении законодательства </w:t>
      </w:r>
    </w:p>
    <w:p w14:paraId="6FE467EA" w14:textId="5936F313" w:rsidR="004F1DEF" w:rsidRDefault="00820A6B" w:rsidP="00820A6B">
      <w:pPr>
        <w:spacing w:after="6" w:line="259" w:lineRule="auto"/>
        <w:ind w:left="0" w:right="0" w:firstLine="0"/>
      </w:pPr>
      <w:r>
        <w:rPr>
          <w:lang w:val="ru-RU"/>
        </w:rPr>
        <w:t xml:space="preserve">        Инспекция МНС по Глубокскому району</w:t>
      </w:r>
      <w:r w:rsidR="00000000">
        <w:t xml:space="preserve"> в связи с принятием Закона Республики </w:t>
      </w:r>
      <w:r w:rsidR="00000000">
        <w:tab/>
        <w:t xml:space="preserve">Беларусь </w:t>
      </w:r>
      <w:r w:rsidR="00000000">
        <w:tab/>
        <w:t xml:space="preserve">от </w:t>
      </w:r>
      <w:r w:rsidR="00000000">
        <w:tab/>
        <w:t xml:space="preserve">30.12.2022 </w:t>
      </w:r>
      <w:r w:rsidR="00000000">
        <w:tab/>
        <w:t>№ 230-</w:t>
      </w:r>
      <w:r w:rsidR="009E093C">
        <w:rPr>
          <w:lang w:val="ru-RU"/>
        </w:rPr>
        <w:t xml:space="preserve"> </w:t>
      </w:r>
      <w:r w:rsidR="00000000">
        <w:t xml:space="preserve">З «Об </w:t>
      </w:r>
      <w:r w:rsidR="00000000">
        <w:tab/>
        <w:t>изменении</w:t>
      </w:r>
      <w:r>
        <w:rPr>
          <w:lang w:val="ru-RU"/>
        </w:rPr>
        <w:t xml:space="preserve"> </w:t>
      </w:r>
      <w:r w:rsidR="00000000">
        <w:t xml:space="preserve">законов </w:t>
      </w:r>
      <w:r w:rsidR="00000000">
        <w:tab/>
        <w:t xml:space="preserve">по </w:t>
      </w:r>
      <w:r w:rsidR="00000000">
        <w:tab/>
        <w:t xml:space="preserve">вопросам </w:t>
      </w:r>
      <w:r w:rsidR="00000000">
        <w:tab/>
        <w:t xml:space="preserve">налогообложения» </w:t>
      </w:r>
      <w:r w:rsidR="00000000">
        <w:tab/>
        <w:t xml:space="preserve">(далее </w:t>
      </w:r>
      <w:r w:rsidR="00000000">
        <w:tab/>
        <w:t>– Закон</w:t>
      </w:r>
      <w:r w:rsidR="0066779F">
        <w:rPr>
          <w:lang w:val="ru-RU"/>
        </w:rPr>
        <w:t xml:space="preserve"> </w:t>
      </w:r>
      <w:r w:rsidR="00000000">
        <w:t>230-З) информирует.</w:t>
      </w:r>
    </w:p>
    <w:p w14:paraId="287371B9" w14:textId="77777777" w:rsidR="004F1DEF" w:rsidRDefault="00000000">
      <w:pPr>
        <w:numPr>
          <w:ilvl w:val="0"/>
          <w:numId w:val="1"/>
        </w:numPr>
        <w:ind w:right="0"/>
      </w:pPr>
      <w:r>
        <w:t xml:space="preserve">В соответствии с пунктом 15 Закона № 230-З </w:t>
      </w:r>
      <w:r>
        <w:rPr>
          <w:b/>
        </w:rPr>
        <w:t>часть третья пункта 2 статьи 40</w:t>
      </w:r>
      <w:r>
        <w:t xml:space="preserve"> </w:t>
      </w:r>
      <w:r>
        <w:rPr>
          <w:b/>
        </w:rPr>
        <w:t>Налогового кодекса Республики Беларусь</w:t>
      </w:r>
      <w:r>
        <w:t xml:space="preserve"> (далее – Кодекс) дополнена абзацем пятым, устанавливающим </w:t>
      </w:r>
      <w:r>
        <w:rPr>
          <w:u w:val="single" w:color="000000"/>
        </w:rPr>
        <w:t>обязанность</w:t>
      </w:r>
      <w:r>
        <w:t xml:space="preserve"> </w:t>
      </w:r>
      <w:r>
        <w:rPr>
          <w:u w:val="single" w:color="000000"/>
        </w:rPr>
        <w:t>плательщиков</w:t>
      </w:r>
      <w:r>
        <w:t xml:space="preserve"> представить налоговые декларации (расчеты) по налогу при упрощенной системе налогообложения и единому налогу для производителей сельскохозяйственной продукции при отсутствии объектов налогообложения в налоговом периоде по истечении такого налогового периода.</w:t>
      </w:r>
    </w:p>
    <w:p w14:paraId="6FDE8778" w14:textId="77777777" w:rsidR="004F1DEF" w:rsidRDefault="00000000">
      <w:pPr>
        <w:ind w:left="-15" w:right="0"/>
      </w:pPr>
      <w:r>
        <w:t>В случае возникновения объекта налогообложения в отчетном периоде налогового периода налоговые декларации (расчеты) по вышеуказанным налогам представляются в порядке, определенном частью второй пункта 2 статьи 40 Кодекса.</w:t>
      </w:r>
    </w:p>
    <w:p w14:paraId="46FFE873" w14:textId="77777777" w:rsidR="004F1DEF" w:rsidRDefault="00000000">
      <w:pPr>
        <w:ind w:left="-15" w:right="0"/>
      </w:pPr>
      <w:r>
        <w:t xml:space="preserve">Учитывая, что положения абзаца пятого части третьей пункта 2 статьи 40 Кодекса вступили в силу с 01.01.2023, при отсутствии у плательщика в налоговом периоде 2023 года объектов налогообложения по вышеуказанным налогам соответствующие налоговые декларации (расчеты) должны быть представлены им за январь-декабрь 2023 года не позднее 22.01.2024.  </w:t>
      </w:r>
    </w:p>
    <w:p w14:paraId="6285664E" w14:textId="77777777" w:rsidR="004F1DEF" w:rsidRDefault="00000000">
      <w:pPr>
        <w:spacing w:after="34"/>
        <w:ind w:left="-15" w:right="0"/>
      </w:pPr>
      <w:r>
        <w:t>Представление таких налоговых деклараций (расчетов) по итогам 2022 года по сроку 20.01.2023 не требуется.</w:t>
      </w:r>
    </w:p>
    <w:p w14:paraId="32B2B912" w14:textId="77777777" w:rsidR="004F1DEF" w:rsidRDefault="00000000">
      <w:pPr>
        <w:numPr>
          <w:ilvl w:val="0"/>
          <w:numId w:val="1"/>
        </w:numPr>
        <w:ind w:right="0"/>
      </w:pPr>
      <w:r>
        <w:t>Согласно пункту 133 Закона № 230-З в новой редакции</w:t>
      </w:r>
      <w:r>
        <w:rPr>
          <w:b/>
        </w:rPr>
        <w:t xml:space="preserve"> </w:t>
      </w:r>
      <w:r>
        <w:t>изложена</w:t>
      </w:r>
      <w:r>
        <w:rPr>
          <w:b/>
        </w:rPr>
        <w:t xml:space="preserve"> статья 244 Кодекса</w:t>
      </w:r>
      <w:r>
        <w:t>, определяющая порядок и сроки представления налоговой декларации (расчета) по земельному налогу.</w:t>
      </w:r>
    </w:p>
    <w:p w14:paraId="0B81E57F" w14:textId="2E27E9A6" w:rsidR="004F1DEF" w:rsidRDefault="00000000" w:rsidP="00820A6B">
      <w:pPr>
        <w:ind w:left="-15" w:right="0"/>
      </w:pPr>
      <w:r>
        <w:t xml:space="preserve">Согласно пункту 1 статьи 244 Кодекса, </w:t>
      </w:r>
      <w:r>
        <w:rPr>
          <w:u w:val="single" w:color="000000"/>
        </w:rPr>
        <w:t>начиная с налогового периода</w:t>
      </w:r>
      <w:r>
        <w:t xml:space="preserve"> </w:t>
      </w:r>
      <w:r>
        <w:rPr>
          <w:u w:val="single" w:color="000000"/>
        </w:rPr>
        <w:t>2023 года</w:t>
      </w:r>
      <w:r>
        <w:t xml:space="preserve"> налоговая декларация (расчет) по земельному налогу за истекший налоговый период представляется плательщиками-</w:t>
      </w:r>
      <w:r w:rsidR="00820A6B">
        <w:rPr>
          <w:lang w:val="ru-RU"/>
        </w:rPr>
        <w:t xml:space="preserve"> </w:t>
      </w:r>
      <w:r>
        <w:t>организациями в налоговые органы по месту постановки на учет в порядке, установленном в названной статье, не позднее 20 февраля года, следующего за истекшим налоговым периодом. То есть, по</w:t>
      </w:r>
      <w:r>
        <w:rPr>
          <w:color w:val="242424"/>
        </w:rPr>
        <w:t xml:space="preserve"> истечении налогового периода </w:t>
      </w:r>
      <w:r>
        <w:rPr>
          <w:i/>
          <w:color w:val="242424"/>
        </w:rPr>
        <w:t>(календарного года)</w:t>
      </w:r>
      <w:r>
        <w:rPr>
          <w:color w:val="242424"/>
        </w:rPr>
        <w:t>, а не наперед, как ранее.</w:t>
      </w:r>
    </w:p>
    <w:p w14:paraId="114DF96E" w14:textId="77777777" w:rsidR="004F1DEF" w:rsidRDefault="00000000">
      <w:pPr>
        <w:ind w:left="-15" w:right="0"/>
      </w:pPr>
      <w:r>
        <w:rPr>
          <w:color w:val="242424"/>
        </w:rPr>
        <w:t>При этом с</w:t>
      </w:r>
      <w:r>
        <w:t xml:space="preserve"> учетом</w:t>
      </w:r>
      <w:r>
        <w:rPr>
          <w:color w:val="242424"/>
        </w:rPr>
        <w:t xml:space="preserve"> положений пункта 2 статьи 244 Кодекса,</w:t>
      </w:r>
      <w:r>
        <w:t xml:space="preserve"> налоговые органы по месту постановки на учет плательщика-организации не позднее 30 января года, следующего за истекшим налоговым периодом, направляют такому плательщику на портал МНС налоговую декларацию (расчет) по земельному налогу за истекший налоговый период, предварительно заполненную на основании имеющихся в налоговых органах сведений о земельных участках за истекший налоговый период (далее – предварительно заполненная декларация).</w:t>
      </w:r>
    </w:p>
    <w:p w14:paraId="77669E97" w14:textId="77777777" w:rsidR="004F1DEF" w:rsidRDefault="00000000">
      <w:pPr>
        <w:spacing w:after="36" w:line="238" w:lineRule="auto"/>
        <w:ind w:left="-15" w:right="-15" w:firstLine="698"/>
      </w:pPr>
      <w:r>
        <w:rPr>
          <w:color w:val="242424"/>
        </w:rPr>
        <w:t xml:space="preserve">В соответствии с частью шестой пункта 2 статьи 244 Кодекса вне зависимости от направления налоговыми органами предварительно </w:t>
      </w:r>
      <w:r>
        <w:rPr>
          <w:color w:val="242424"/>
        </w:rPr>
        <w:lastRenderedPageBreak/>
        <w:t>заполненной декларации налоговая декларация (расчет) по земельному налогу представляется плательщиками-организациями:</w:t>
      </w:r>
    </w:p>
    <w:p w14:paraId="36DEF873" w14:textId="77777777" w:rsidR="004F1DEF" w:rsidRDefault="00000000">
      <w:pPr>
        <w:tabs>
          <w:tab w:val="center" w:pos="936"/>
          <w:tab w:val="center" w:pos="2302"/>
          <w:tab w:val="center" w:pos="4356"/>
          <w:tab w:val="center" w:pos="6415"/>
          <w:tab w:val="center" w:pos="7631"/>
          <w:tab w:val="center" w:pos="8137"/>
          <w:tab w:val="right" w:pos="9639"/>
        </w:tabs>
        <w:spacing w:after="0" w:line="259" w:lineRule="auto"/>
        <w:ind w:left="0" w:right="0" w:firstLine="0"/>
        <w:jc w:val="left"/>
      </w:pPr>
      <w:r>
        <w:rPr>
          <w:rFonts w:ascii="Calibri" w:eastAsia="Calibri" w:hAnsi="Calibri" w:cs="Calibri"/>
          <w:sz w:val="22"/>
        </w:rPr>
        <w:tab/>
      </w:r>
      <w:r>
        <w:rPr>
          <w:color w:val="242424"/>
        </w:rPr>
        <w:t xml:space="preserve">при </w:t>
      </w:r>
      <w:r>
        <w:rPr>
          <w:color w:val="242424"/>
        </w:rPr>
        <w:tab/>
        <w:t xml:space="preserve">ликвидации, </w:t>
      </w:r>
      <w:r>
        <w:rPr>
          <w:color w:val="242424"/>
        </w:rPr>
        <w:tab/>
        <w:t xml:space="preserve">реорганизации </w:t>
      </w:r>
      <w:r>
        <w:rPr>
          <w:color w:val="242424"/>
        </w:rPr>
        <w:tab/>
        <w:t xml:space="preserve">организаций </w:t>
      </w:r>
      <w:r>
        <w:rPr>
          <w:color w:val="242424"/>
        </w:rPr>
        <w:tab/>
        <w:t xml:space="preserve">– </w:t>
      </w:r>
      <w:r>
        <w:rPr>
          <w:color w:val="242424"/>
        </w:rPr>
        <w:tab/>
        <w:t xml:space="preserve">в </w:t>
      </w:r>
      <w:r>
        <w:rPr>
          <w:color w:val="242424"/>
        </w:rPr>
        <w:tab/>
        <w:t xml:space="preserve">порядке, </w:t>
      </w:r>
    </w:p>
    <w:p w14:paraId="1829EB85" w14:textId="77777777" w:rsidR="00B978D5" w:rsidRDefault="00000000">
      <w:pPr>
        <w:spacing w:after="0" w:line="238" w:lineRule="auto"/>
        <w:ind w:left="-15" w:right="-15" w:firstLine="0"/>
        <w:rPr>
          <w:color w:val="242424"/>
        </w:rPr>
      </w:pPr>
      <w:r>
        <w:rPr>
          <w:color w:val="242424"/>
        </w:rPr>
        <w:t xml:space="preserve">установленном </w:t>
      </w:r>
      <w:hyperlink r:id="rId5">
        <w:r>
          <w:rPr>
            <w:color w:val="242424"/>
          </w:rPr>
          <w:t>статьями 44</w:t>
        </w:r>
      </w:hyperlink>
      <w:r>
        <w:rPr>
          <w:color w:val="242424"/>
        </w:rPr>
        <w:t xml:space="preserve"> и </w:t>
      </w:r>
      <w:hyperlink r:id="rId6">
        <w:r>
          <w:rPr>
            <w:color w:val="242424"/>
          </w:rPr>
          <w:t>45</w:t>
        </w:r>
      </w:hyperlink>
      <w:r>
        <w:rPr>
          <w:color w:val="242424"/>
        </w:rPr>
        <w:t xml:space="preserve"> Кодекса; </w:t>
      </w:r>
    </w:p>
    <w:p w14:paraId="22EE1557" w14:textId="637261E9" w:rsidR="004F1DEF" w:rsidRDefault="00B978D5">
      <w:pPr>
        <w:spacing w:after="0" w:line="238" w:lineRule="auto"/>
        <w:ind w:left="-15" w:right="-15" w:firstLine="0"/>
      </w:pPr>
      <w:r>
        <w:rPr>
          <w:color w:val="242424"/>
          <w:lang w:val="ru-RU"/>
        </w:rPr>
        <w:t xml:space="preserve">          </w:t>
      </w:r>
      <w:r w:rsidR="00000000">
        <w:rPr>
          <w:color w:val="242424"/>
        </w:rPr>
        <w:t xml:space="preserve">при необходимости внесения изменений и (или) дополнений в налоговые декларации (расчеты), представленные за истекший налоговый период, – в порядке, установленном </w:t>
      </w:r>
      <w:hyperlink r:id="rId7">
        <w:r w:rsidR="00000000">
          <w:rPr>
            <w:color w:val="242424"/>
          </w:rPr>
          <w:t>статьей 40</w:t>
        </w:r>
      </w:hyperlink>
      <w:r w:rsidR="00000000">
        <w:rPr>
          <w:color w:val="242424"/>
        </w:rPr>
        <w:t xml:space="preserve"> Кодекса.</w:t>
      </w:r>
    </w:p>
    <w:p w14:paraId="22B581F9" w14:textId="7D505A69" w:rsidR="004F1DEF" w:rsidRDefault="00000000">
      <w:pPr>
        <w:spacing w:after="0" w:line="238" w:lineRule="auto"/>
        <w:ind w:left="-15" w:right="-15" w:firstLine="698"/>
      </w:pPr>
      <w:r>
        <w:rPr>
          <w:color w:val="242424"/>
        </w:rPr>
        <w:t>На основании изложенного, представление плательщиками</w:t>
      </w:r>
      <w:r w:rsidR="009E093C">
        <w:rPr>
          <w:color w:val="242424"/>
          <w:lang w:val="ru-RU"/>
        </w:rPr>
        <w:t xml:space="preserve"> </w:t>
      </w:r>
      <w:r>
        <w:rPr>
          <w:color w:val="242424"/>
        </w:rPr>
        <w:t xml:space="preserve">организациями налоговых деклараций (расчетов) по земельному налогу по сроку не позднее 20.02.2023 Кодексом </w:t>
      </w:r>
      <w:r>
        <w:rPr>
          <w:color w:val="242424"/>
          <w:u w:val="single" w:color="242424"/>
        </w:rPr>
        <w:t>не предусмотрено</w:t>
      </w:r>
      <w:r>
        <w:rPr>
          <w:color w:val="242424"/>
        </w:rPr>
        <w:t>. В связи с чем, налоговые декларации (расчеты) по земельному налогу</w:t>
      </w:r>
      <w:r>
        <w:t xml:space="preserve">, представленные плательщиками-организациями в 2023 году за текущий налоговый период </w:t>
      </w:r>
      <w:r>
        <w:rPr>
          <w:i/>
        </w:rPr>
        <w:t>(за 2023 год)</w:t>
      </w:r>
      <w:r>
        <w:t xml:space="preserve">, </w:t>
      </w:r>
      <w:r>
        <w:rPr>
          <w:u w:val="single" w:color="000000"/>
        </w:rPr>
        <w:t>не подлежат загрузке</w:t>
      </w:r>
      <w:r>
        <w:t xml:space="preserve"> в учетную систему автоматизированной информационной системы «Расчет налогов», за исключением деклараций, указанных в части </w:t>
      </w:r>
      <w:r>
        <w:rPr>
          <w:color w:val="242424"/>
        </w:rPr>
        <w:t xml:space="preserve">шестой пункта 2 статьи 244 Кодекса. </w:t>
      </w:r>
    </w:p>
    <w:sectPr w:rsidR="004F1DEF">
      <w:type w:val="continuous"/>
      <w:pgSz w:w="11906" w:h="16838"/>
      <w:pgMar w:top="776" w:right="566" w:bottom="1029"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D54D5F"/>
    <w:multiLevelType w:val="hybridMultilevel"/>
    <w:tmpl w:val="F0244DD6"/>
    <w:lvl w:ilvl="0" w:tplc="68B66E0C">
      <w:start w:val="1"/>
      <w:numFmt w:val="decimal"/>
      <w:lvlText w:val="%1."/>
      <w:lvlJc w:val="left"/>
      <w:pPr>
        <w:ind w:left="0"/>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1" w:tplc="6538B01E">
      <w:start w:val="1"/>
      <w:numFmt w:val="lowerLetter"/>
      <w:lvlText w:val="%2"/>
      <w:lvlJc w:val="left"/>
      <w:pPr>
        <w:ind w:left="1789"/>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2" w:tplc="F30A7426">
      <w:start w:val="1"/>
      <w:numFmt w:val="lowerRoman"/>
      <w:lvlText w:val="%3"/>
      <w:lvlJc w:val="left"/>
      <w:pPr>
        <w:ind w:left="2509"/>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3" w:tplc="55807EB6">
      <w:start w:val="1"/>
      <w:numFmt w:val="decimal"/>
      <w:lvlText w:val="%4"/>
      <w:lvlJc w:val="left"/>
      <w:pPr>
        <w:ind w:left="3229"/>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4" w:tplc="8B4437CC">
      <w:start w:val="1"/>
      <w:numFmt w:val="lowerLetter"/>
      <w:lvlText w:val="%5"/>
      <w:lvlJc w:val="left"/>
      <w:pPr>
        <w:ind w:left="3949"/>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5" w:tplc="0D06FC22">
      <w:start w:val="1"/>
      <w:numFmt w:val="lowerRoman"/>
      <w:lvlText w:val="%6"/>
      <w:lvlJc w:val="left"/>
      <w:pPr>
        <w:ind w:left="4669"/>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6" w:tplc="5036BADA">
      <w:start w:val="1"/>
      <w:numFmt w:val="decimal"/>
      <w:lvlText w:val="%7"/>
      <w:lvlJc w:val="left"/>
      <w:pPr>
        <w:ind w:left="5389"/>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7" w:tplc="DA2416C2">
      <w:start w:val="1"/>
      <w:numFmt w:val="lowerLetter"/>
      <w:lvlText w:val="%8"/>
      <w:lvlJc w:val="left"/>
      <w:pPr>
        <w:ind w:left="6109"/>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lvl w:ilvl="8" w:tplc="86469B8E">
      <w:start w:val="1"/>
      <w:numFmt w:val="lowerRoman"/>
      <w:lvlText w:val="%9"/>
      <w:lvlJc w:val="left"/>
      <w:pPr>
        <w:ind w:left="6829"/>
      </w:pPr>
      <w:rPr>
        <w:rFonts w:ascii="Times New Roman" w:eastAsia="Times New Roman" w:hAnsi="Times New Roman" w:cs="Times New Roman"/>
        <w:b w:val="0"/>
        <w:i w:val="0"/>
        <w:strike w:val="0"/>
        <w:dstrike w:val="0"/>
        <w:color w:val="000000"/>
        <w:sz w:val="29"/>
        <w:szCs w:val="29"/>
        <w:u w:val="none" w:color="000000"/>
        <w:bdr w:val="none" w:sz="0" w:space="0" w:color="auto"/>
        <w:shd w:val="clear" w:color="auto" w:fill="auto"/>
        <w:vertAlign w:val="baseline"/>
      </w:rPr>
    </w:lvl>
  </w:abstractNum>
  <w:num w:numId="1" w16cid:durableId="4553754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1DEF"/>
    <w:rsid w:val="004F1DEF"/>
    <w:rsid w:val="0066779F"/>
    <w:rsid w:val="00820A6B"/>
    <w:rsid w:val="009E093C"/>
    <w:rsid w:val="00B978D5"/>
  </w:rsids>
  <m:mathPr>
    <m:mathFont m:val="Cambria Math"/>
    <m:brkBin m:val="before"/>
    <m:brkBinSub m:val="--"/>
    <m:smallFrac m:val="0"/>
    <m:dispDef/>
    <m:lMargin m:val="0"/>
    <m:rMargin m:val="0"/>
    <m:defJc m:val="centerGroup"/>
    <m:wrapIndent m:val="1440"/>
    <m:intLim m:val="subSup"/>
    <m:naryLim m:val="undOvr"/>
  </m:mathPr>
  <w:themeFontLang w:val="ru-B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A3E94"/>
  <w15:docId w15:val="{F4FF176C-163B-4216-9C7A-D6A8171B5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BY" w:eastAsia="ru-BY"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3" w:line="240" w:lineRule="auto"/>
      <w:ind w:left="4536" w:right="1961" w:firstLine="699"/>
      <w:jc w:val="both"/>
    </w:pPr>
    <w:rPr>
      <w:rFonts w:ascii="Times New Roman" w:eastAsia="Times New Roman" w:hAnsi="Times New Roman" w:cs="Times New Roman"/>
      <w:color w:val="000000"/>
      <w:sz w:val="29"/>
    </w:rPr>
  </w:style>
  <w:style w:type="paragraph" w:styleId="1">
    <w:name w:val="heading 1"/>
    <w:next w:val="a"/>
    <w:link w:val="10"/>
    <w:uiPriority w:val="9"/>
    <w:qFormat/>
    <w:pPr>
      <w:keepNext/>
      <w:keepLines/>
      <w:spacing w:after="0"/>
      <w:ind w:left="10" w:hanging="10"/>
      <w:outlineLvl w:val="0"/>
    </w:pPr>
    <w:rPr>
      <w:rFonts w:ascii="Times New Roman" w:eastAsia="Times New Roman" w:hAnsi="Times New Roman" w:cs="Times New Roman"/>
      <w:b/>
      <w:color w:val="000000"/>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7054C01F09F9AF1DBEBFAB88A0D7752D6FBA7BF44FB890E401839E6FE1A710A0EDBE7D43E59C572D97195EE00CD3AE234AC26EF9D4D10FDB784F31875CLCr0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7054C01F09F9AF1DBEBFAB88A0D7752D6FBA7BF44FB890E401839E6FE1A710A0EDBE7D43E59C572D97195EE30CD1AE234AC26EF9D4D10FDB784F31875CLCr0P" TargetMode="External"/><Relationship Id="rId5" Type="http://schemas.openxmlformats.org/officeDocument/2006/relationships/hyperlink" Target="consultantplus://offline/ref=7054C01F09F9AF1DBEBFAB88A0D7752D6FBA7BF44FB890E401839E6FE1A710A0EDBE7D43E59C572D97195EE30AD4AE234AC26EF9D4D10FDB784F31875CLCr0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610</Words>
  <Characters>3482</Characters>
  <Application>Microsoft Office Word</Application>
  <DocSecurity>0</DocSecurity>
  <Lines>29</Lines>
  <Paragraphs>8</Paragraphs>
  <ScaleCrop>false</ScaleCrop>
  <Company/>
  <LinksUpToDate>false</LinksUpToDate>
  <CharactersWithSpaces>4084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МIНIСТЭРСТВА</dc:title>
  <dc:subject/>
  <dc:creator>rename</dc:creator>
  <cp:keywords/>
  <cp:lastModifiedBy>Михно Ирина Семеновна</cp:lastModifiedBy>
  <cp:revision>7</cp:revision>
  <dcterms:created xsi:type="dcterms:W3CDTF">2023-01-16T05:15:00Z</dcterms:created>
  <dcterms:modified xsi:type="dcterms:W3CDTF">2023-01-16T05:26:00Z</dcterms:modified>
</cp:coreProperties>
</file>