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rPr>
          <w:rFonts w:eastAsia="Times New Roman"/>
          <w:color w:val="auto"/>
          <w:lang w:eastAsia="ru-RU"/>
        </w:rPr>
      </w:pPr>
    </w:p>
    <w:p>
      <w:pPr>
        <w:spacing w:after="0" w:line="280" w:lineRule="exact"/>
        <w:rPr>
          <w:rFonts w:eastAsia="Times New Roman"/>
          <w:color w:val="auto"/>
          <w:lang w:eastAsia="ru-RU"/>
        </w:rPr>
      </w:pPr>
    </w:p>
    <w:p>
      <w:pPr>
        <w:spacing w:after="0" w:line="30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Об участии в смотре-конкурсе</w:t>
      </w:r>
    </w:p>
    <w:p>
      <w:pPr>
        <w:spacing w:after="0" w:line="280" w:lineRule="exact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 Рекомендациями о проведении смотра-конкурса на лучшую организацию работы по охране труда, разработанными Министерством труда и социальной защиты (далее – Рекомендации), пунктом 13 КОМПЛЕКСА МЕР по укреплению производственно-технологической, исполнительской и трудовой дисциплины, безопасности производственной деятельности в организациях Витебской области на 2024 год, утвержденного решением Витебского областного исполнительного комитета от 20 октября 2023 г. № 580  представьте </w:t>
      </w:r>
      <w:r>
        <w:rPr>
          <w:rFonts w:eastAsia="Times New Roman"/>
          <w:color w:val="auto"/>
          <w:sz w:val="28"/>
          <w:szCs w:val="28"/>
          <w:u w:val="single"/>
          <w:lang w:eastAsia="ru-RU"/>
        </w:rPr>
        <w:t>до 1 мая 2024 г.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электронный адрес </w:t>
      </w:r>
      <w:r>
        <w:fldChar w:fldCharType="begin"/>
      </w:r>
      <w:r>
        <w:instrText xml:space="preserve"> HYPERLINK "mailto:doksh07@vitebsk.by" </w:instrText>
      </w:r>
      <w:r>
        <w:fldChar w:fldCharType="separate"/>
      </w:r>
      <w:r>
        <w:rPr>
          <w:rFonts w:eastAsia="Times New Roman"/>
          <w:color w:val="auto"/>
          <w:sz w:val="28"/>
          <w:lang w:val="en-US" w:eastAsia="ru-RU"/>
        </w:rPr>
        <w:t>doksh</w:t>
      </w:r>
      <w:r>
        <w:rPr>
          <w:rFonts w:eastAsia="Times New Roman"/>
          <w:color w:val="auto"/>
          <w:sz w:val="28"/>
          <w:lang w:eastAsia="ru-RU"/>
        </w:rPr>
        <w:t>07@</w:t>
      </w:r>
      <w:r>
        <w:rPr>
          <w:rFonts w:eastAsia="Times New Roman"/>
          <w:color w:val="auto"/>
          <w:sz w:val="28"/>
          <w:lang w:val="en-US" w:eastAsia="ru-RU"/>
        </w:rPr>
        <w:t>vitebsk</w:t>
      </w:r>
      <w:r>
        <w:rPr>
          <w:rFonts w:eastAsia="Times New Roman"/>
          <w:color w:val="auto"/>
          <w:sz w:val="28"/>
          <w:lang w:eastAsia="ru-RU"/>
        </w:rPr>
        <w:t>.</w:t>
      </w:r>
      <w:r>
        <w:rPr>
          <w:rFonts w:eastAsia="Times New Roman"/>
          <w:color w:val="auto"/>
          <w:sz w:val="28"/>
          <w:lang w:val="en-US" w:eastAsia="ru-RU"/>
        </w:rPr>
        <w:t>by</w:t>
      </w:r>
      <w:r>
        <w:rPr>
          <w:rFonts w:eastAsia="Times New Roman"/>
          <w:color w:val="auto"/>
          <w:sz w:val="28"/>
          <w:lang w:val="en-US" w:eastAsia="ru-RU"/>
        </w:rPr>
        <w:fldChar w:fldCharType="end"/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либо нарочно в кабинет № 1 управления по труду, занятости и социальной защите Докшицкого райисполкома справки об оценке показателей состояния условий и охраны труда в Вашей организации за 2023 г.  по форме согласно приложению 1. </w:t>
      </w:r>
    </w:p>
    <w:p>
      <w:pPr>
        <w:spacing w:after="0" w:line="240" w:lineRule="auto"/>
        <w:ind w:firstLine="720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Справки представить в отпечатанном виде (от руки не заполнять), обязательно на фирменном бланке организации и подписью руководителя.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Помимо указанных справок организация может предоставить пояснительную записку, в которой более подробно отображена проводимая в организации работа по охране труда и другие сведения, касающиеся целей и задач смотра-конкурса, указанных в Рекомендациях (прилагаются).</w:t>
      </w:r>
    </w:p>
    <w:p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вопросам заполнения справок обращаться по телефону 5 97 43 – Полянин Вячеслав Александрович.</w:t>
      </w:r>
    </w:p>
    <w:p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sz w:val="40"/>
          <w:szCs w:val="40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caps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aps/>
          <w:color w:val="auto"/>
          <w:sz w:val="24"/>
          <w:szCs w:val="24"/>
          <w:lang w:eastAsia="ru-RU"/>
        </w:rPr>
        <w:t>РЕШЕНИЕ ВИТЕБСКОГО ОБЛАСТНОГО ИСПОЛНИТЕЛЬНОГО КОМИТЕТА</w:t>
      </w:r>
    </w:p>
    <w:p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15 февраля 2022 г. № 80</w:t>
      </w:r>
    </w:p>
    <w:p>
      <w:pPr>
        <w:spacing w:before="240" w:after="240" w:line="240" w:lineRule="auto"/>
        <w:ind w:right="2268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О ежегодном областном смотре-конкурсе на лучшую организацию работы по охране труда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Витебский областной исполнительный комитет РЕШИЛ: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1. Утвердить Инструкцию о порядке организации и проведения ежегодного областного смотра-конкурса на лучшую организацию работы по охране труда (прилагается).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 Обнародовать (опубликовать) настоящее решение в газете «Витебские вести».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3. Настоящее решение вступает в силу после его официального опубликования.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0"/>
        <w:gridCol w:w="4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Б.С.Ефремов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А.В.Сысоев</w:t>
            </w:r>
          </w:p>
        </w:tc>
      </w:tr>
    </w:tbl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9"/>
        <w:gridCol w:w="2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12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УТВЕРЖДЕНО</w:t>
            </w:r>
          </w:p>
          <w:p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Решение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Витебского областного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исполнительного комитета</w:t>
            </w:r>
          </w:p>
          <w:p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15.02.2022 № 80</w:t>
            </w:r>
          </w:p>
        </w:tc>
      </w:tr>
    </w:tbl>
    <w:p>
      <w:pPr>
        <w:spacing w:before="240" w:after="24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ИНСТРУКЦИЯ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br w:type="textWrapping"/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о порядке организации и проведения ежегодного областного смотра-конкурса на лучшую организацию работы по охране труда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1. Настоящая Инструкция устанавливает порядок организации и проведения ежегодного областного смотра-конкурса на лучшую организацию работы по охране труда (далее – смотр-конкурс) в организациях Витебской области.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 Смотр-конкурс проводится в целях активизации работы по охране труда, повышения заинтересованности нанимателей Витебской области в создании здоровых и безопасных условий труда работников.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3. Основными задачами смотра-конкурса являются: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профилактика и предупреждение производственного травматизма и профессиональной заболеваемости;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совершенствование систем управления охраной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улучшение условий и охраны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формирование у работников ответственного отношения к личной безопасности и личному здоровью, а также к безопасности окружающих в процессе выполнения работ либо во время нахождения на территории организации;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стимулирование нанимателей и работников за обеспечение и соблюдение требований по охране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пропаганда и распространение передового опыта работы в области охраны труда.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4. Смотр-конкурс организуется и проводится Витебским областным исполнительным комитетом (далее – Витебский облисполком).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 Координацию деятельности по проведению смотра-конкурса осуществляет комиссия по профилактике производственного травматизма и профессиональной заболеваемости при Витебском облисполкоме (далее – областная комиссия).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6. В смотре-конкурсе могут принимать участие юридические лица независимо от формы собственности, зарегистрированные на территории Витебской области, их обособленные структурные подразделения (далее – организации).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7. К участию в смотре-конкурсе не допускаются организации, имеющие по итогам года несчастный случай на производстве и (или) зарегистрированный случай возникновения профессионального заболевания.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8. Критериями оценки участников в смотре-конкурсе являются: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снижение (отсутствие роста) в течение отчетного года численности потерпевших при несчастных случаях на производстве согласно данным государственной статистической отчетности по форме 1-т (травматизм) «Отчет о численности потерпевших при несчастных случаях на производстве», утвержденной постановлением Национального статистического комитета Республики Беларусь от 13 июня 2016 г. № 64, по сравнению с годом, предшествующим отчетному;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сокращение в течение отчетного года количества рабочих мест с вредными и (или) опасными условиями труда, не соответствующих требованиям по охране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внедрение и функционирование системы управления охраной труда в организации, ее совершенствование;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наличие службы охраны труда (специалиста по охране труда или уполномоченного должностного лица, на которое возложены соответствующие обязанности по охране труда) либо привлеченного юридического лица (индивидуального предпринимателя), аккредитованного на оказание услуг в области охраны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наличие профсоюзной организации и коллективного договора, содержащего мероприятия по охране труда, и (или) плана мероприятий по охране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проведение в течение отчетного года обучения и проверки знаний по вопросам охраны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проведение дней охраны труда;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обеспечение работников в случаях, предусмотренных законодательством, средствами индивидуальной защиты и средствами коллективной защиты и контроль за их правильным применением;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организация работы по проведению обязательных и (или) внеочередных медицинских осмотров работников либо освидетельствований работников на предмет нахождения в состоянии алкогольного, наркотического или токсического опьянения;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наличие санитарно-бытовых помещений;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участие общественных инспекторов по охране труда профессиональных союзов (уполномоченных лиц по охране труда работников организации) в осуществлении контроля за соблюдением законодательства об охране труда.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9. Смотр-конкурс проводится по следующим номинациям: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«Организации непроизводственной сферы»;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«Организации производственной сферы с численностью работающих до 100 человек»;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«Организации производственной сферы с численностью работающих от 101 до 500 человек»;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«Организации производственной сферы с численностью работающих свыше 500 человек».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10. Смотр-конкурс проводится в два этапа: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I этап – в городах Витебске, Новополоцке и районах области;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II этап – по области в целом.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11. Проведение I этапа смотра-конкурса осуществляется городскими и районными исполнительными комитетами (далее – горрайисполкомы).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12. На I этапе проведения смотра-конкурса организации не позднее 1 сентября года, следующего за отчетным, представляют в горрайисполкомы справку о показателях состояния условий и охраны труда согласно приложению 1. Организации могут также представлять другие сведения, отражающие работу по охране труда, в том числе фото-, видеоматериалы, презентации, буклеты.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13. Итоги I этапа смотра-конкурса подводят комиссии по охране труда при горрайисполкомах (далее – комиссии горрайисполкомов). Решения комиссий горрайисполкомов о результатах проведения I этапа смотра-конкурса оформляются протоколами.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14. Победителями I этапа смотра-конкурса признаются организации, набравшие наибольшую сумму баллов по результатам оценки показателей состояния условий и охраны труда согласно приложению 2.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15. Горрайисполкомы до 15 сентября года, следующего за отчетным, на основании протоколов комиссий горрайисполкомов принимают решения об определении победителей I этапа смотра-конкурса. Организации, признанные победителями I этапа смотра-конкурса, участвуют во II этапе смотра-конкурса по соответствующим номинациям.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16. Для проведения II этапа смотра-конкурса горрайисполкомы до 20 сентября года, следующего за отчетным, представляют в областную комиссию: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копии решений горрайисполкомов об определении победителей I этапа смотра-конкурса по соответствующим номинациям;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копии протоколов комиссий горрайисполкомов о результатах проведения I этапа смотра-конкурса по соответствующим номинациям;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информацию об оценке показателей состояния условий и охраны труда, указанной в приложении 2;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другие сведения, отражающие работу победителей I этапа смотра-конкурса, в том числе фото-, видеоматериалы, презентации, буклеты.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17. Областная комиссия не позднее 30 сентября года, следующего за отчетным, подводит итоги II этапа смотра-конкурса. Решение областной комиссии оформляется протоколом.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18. Победителями II этапа смотра-конкурса признаются организации, набравшие наибольшую сумму баллов по результатам оценки показателей состояния условий и охраны труда по соответствующим номинациям.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19. На основании протокола областной комиссии Витебский облисполком принимает решение об определении победителей II этапа смотра-конкурса.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20. Победителям II этапа смотра-конкурса по соответствующим номинациям присваивается звание «Образцовая организация Витебской области по охране труда» с вручением диплома в рамке, цветов и денежного вознаграждения.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21. Для поощрения победителей II этапа смотра-конкурса по соответствующим номинациям устанавливаются денежные вознаграждения в следующих размерах: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 номинации «Организации непроизводственной сферы» – 100 базовых величин;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 номинации «Организации производственной сферы с численностью работающих до 100 человек» – 100 базовых величин;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 номинации «Организации производственной сферы с численностью работающих от 101 до 500 человек» – 100 базовых величин;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 номинации «Организации производственной сферы с численностью работающих свыше 500 человек» – 100 базовых величин.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22. Финансирование расходов, связанных с выплатой денежного вознаграждения организациям, признанным победителями II этапа смотра-конкурса, осуществляется за счет средств, предусмотренных в областном бюджете.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23. Итоги смотра-конкурса освещаются в средствах массовой информации.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  <w:sectPr>
          <w:pgSz w:w="12240" w:h="15840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0"/>
        <w:gridCol w:w="3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28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Приложение 1</w:t>
            </w:r>
          </w:p>
          <w:p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 Инструкции о порядке организации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 проведения ежегодного областного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смотра-конкурса на лучшую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организацию работы по охране труда </w:t>
            </w:r>
          </w:p>
        </w:tc>
      </w:tr>
    </w:tbl>
    <w:p>
      <w:pPr>
        <w:spacing w:before="240"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Справка о показателях состояния условий и охраны труда</w:t>
      </w:r>
    </w:p>
    <w:p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 __________________________________________________________</w:t>
      </w:r>
    </w:p>
    <w:p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(наименование организации)</w:t>
      </w:r>
    </w:p>
    <w:p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за ____________ год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1. Адрес организации __________________________________________________________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 Телефон/факс ______________________________________________________________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3. Адрес электронной почты 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4. Организационно-правовая форма 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 Основной вид деятельности 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6. Форма собственности ________________________________________________________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7. Руководитель организации ___________________________________________________</w:t>
      </w:r>
    </w:p>
    <w:p>
      <w:pPr>
        <w:spacing w:after="0" w:line="240" w:lineRule="auto"/>
        <w:ind w:left="3402"/>
        <w:jc w:val="both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(фамилия, собственное имя, отчество (если таковое имеется)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8. Наименование выпускаемой продукции (товаров, работ, услуг) 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9. Количество рабочих мест _____________________________________________________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10. Среднесписочная численность работающих (человек) ____________________________</w:t>
      </w:r>
    </w:p>
    <w:p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Показатели состояния условий и охраны труда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5221"/>
        <w:gridCol w:w="1170"/>
        <w:gridCol w:w="175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534" w:type="pct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Отчетный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Условия труда: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рабочих мест с вредными и (или) опасными условиями труда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численность работников, занятых на рабочих местах с вредными и (или) опасными условиями труда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рабочих мест с вредными и (или) опасными условиями труда, приведенных в соответствие с требованиями санитарно-гигиенических норм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численность работников, условия труда которых приведены в соответствие с требованиями санитарно-гигиенических норм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плана мероприятий по охране труда, разработанного в соответствии с постановлением Министерства труда и социальной защиты Республики Беларусь от 28 ноября 2013 г. № 111 «Об утверждении Инструкции о порядке планирования и разработки мероприятий по охране труда» (далее – План):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запланированных мероприятий – всего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 них выполнено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запланировано средств на выполнение мероприятий Плана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фактически израсходовано средств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Израсходовано средств на охрану труда в расчете на одного работника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Обеспеченность работников согласно нормам средствами индивидуальной защиты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Обеспеченность работников санитарно-бытовыми помещениями и устройствами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Удельный вес работников, прошедших периодические медицинские осмотры, по отношению к общей численности работников, подлежащих прохождению медицинских осмотров в отчетном году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предсменного (перед началом работы, смены) медицинского осмотра и освидетельствования на предмет нахождения в состоянии алкогольного, наркотического или токсического опьянения работников в соответствии с постановлением Министерства труда и социальной защиты Республики Беларусь и Министерства здравоохранения Республики Беларусь от 2 декабря 2013 г. № 116/119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Численность потерпевших при несчастных случаях на производстве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Численность специалистов по охране труда: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нормативная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 системе управления охраной труда: наличие, совершенствование, анализ эффективности, соответствие техническим нормативным правовым актам, являющимся обязательными, сертификация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руководителей, специалистов, других работников организации, прошедших обучение и проверку знаний по вопросам охраны труда, от общей численности работников, подлежащих прохождению проверки знаний в отчетном году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контроля за соблюдением законодательства об охране труда в соответствии с Инструкцией о порядке осуществления контроля за соблюдением работниками требований по охране труда в организации и структурных подразделениях, утвержденной постановлением Министерства труда и социальной защиты Республики Беларусь от 15 мая 2020 г. № 51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Наличие общественных инспекторов по охране труда профсоюзов 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в трудовых коллективах творческих конкурсов, направленных на профилактику производственного травматизма и популяризацию охраны труда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6" w:type="pc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Применение мер поощрения и материального стимулирования работников за соблюдение требований по охране труда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7"/>
        <w:gridCol w:w="3503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ind w:right="291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(фамилия, собственное имя,</w:t>
            </w:r>
          </w:p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профсоюзного комитета 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ind w:right="291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(фамилия, собственное имя,</w:t>
            </w:r>
          </w:p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0"/>
        <w:gridCol w:w="3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28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Приложение 2</w:t>
            </w:r>
          </w:p>
          <w:p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 Инструкции о порядке организации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 проведения ежегодного областного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смотра-конкурса на лучшую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организацию работы по охране труда </w:t>
            </w:r>
          </w:p>
        </w:tc>
      </w:tr>
    </w:tbl>
    <w:p>
      <w:pPr>
        <w:spacing w:before="240" w:after="24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ОЦЕНКА ПОКАЗАТЕЛЕЙ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br w:type="textWrapping"/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состояния условий и охраны труда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5116"/>
        <w:gridCol w:w="1170"/>
        <w:gridCol w:w="175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Цифровой показатель</w:t>
            </w:r>
          </w:p>
        </w:tc>
        <w:tc>
          <w:tcPr>
            <w:tcW w:w="534" w:type="pct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Оценка в баллах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Условия труда: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приведение рабочих мест с вредными и (или) опасными условиями труда в соответствие с требованиями санитарно-гигиенических норм по сравнению с предшествующим годом: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 каждый процент приведения – 1 балл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сокращение рабочих мест с вредными и (или) опасными условиями труда по сравнению с предшествующим годом: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 каждый процент сокращения – 5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отсутствие рабочих мест с вредными и (или) опасными условиями труда – 10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плана мероприятий по охране труда, разработанного в соответствии с постановлением Министерства труда и социальной защиты Республики Беларусь от 28 ноября 2013 г. № 111 «Об утверждении Инструкции о порядке планирования и разработки мероприятий по охране труда»: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 выполнения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Израсходовано средств по охране труда в расчете на одного работника: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5 базовых величин – баллы не начисляются;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 базовых величин – 1 балл, за увеличение данной суммы на 1 базовую величину добавляется по 0,5 балла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Обеспеченность работников согласно нормам средствами индивидуальной защиты: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 – 10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Обеспеченность работников санитарно-бытовыми помещениями и устройствами: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 – 10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Охват работников, подлежащих прохождению в отчетном году периодических медицинских осмотров: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предсменного (перед началом работы, смены) медицинского осмотра и освидетельствования на предмет нахождения в состоянии алкогольного, наркотического или токсического опьянения работников: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организовано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организовано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Травматизм: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отсутствие фактов травмирования работников – 10 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наличие фактов травмирования работников – снимается 10 баллов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Укомплектованность специалистами по охране труда: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 по нормативу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 управления охраной труда: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внедрение системы управления охраной труда – 5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ежегодного анализа эффективности и внесение изменений (совершенствование) – 5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соответствие техническим нормативным правовым актам, являющимся обязательными, – 5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наличие сертификации – 5 баллов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Прохождение обучения и проверки знаний по вопросам охраны труда руководителями, специалистами и другими работниками организации: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100 %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100 %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контроля за соблюдением законодательства об охране труда: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организован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организован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Наличие общественных инспекторов по охране труда профсоюзов: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 10 человек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свыше 10 человек – 10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 отсутствии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в трудовых коллективах творческих конкурсов, направленных на профилактику производственного травматизма и популяризацию охраны труда: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проводятся – 5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проводятся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00" w:type="pc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Меры поощрения и материального стимулирования работников за соблюдение требований охраны труда, трудовой и производственной дисциплины: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внесены в локальные правовые акты организации и применяются – 10 баллов;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 w:type="textWrapping"/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имеются – баллы не начисляются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Секретарь комиссии </w:t>
      </w:r>
      <w:r>
        <w:rPr>
          <w:rFonts w:eastAsia="Times New Roman"/>
          <w:color w:val="auto"/>
          <w:sz w:val="24"/>
          <w:szCs w:val="24"/>
          <w:lang w:eastAsia="ru-RU"/>
        </w:rPr>
        <w:br w:type="textWrapping"/>
      </w:r>
      <w:r>
        <w:rPr>
          <w:rFonts w:eastAsia="Times New Roman"/>
          <w:color w:val="auto"/>
          <w:sz w:val="24"/>
          <w:szCs w:val="24"/>
          <w:lang w:eastAsia="ru-RU"/>
        </w:rPr>
        <w:t>горрайисполкома 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color w:val="auto"/>
          <w:sz w:val="18"/>
          <w:szCs w:val="18"/>
          <w:lang w:eastAsia="ru-RU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pgNumType w:start="1"/>
      <w:cols w:space="708" w:num="1"/>
      <w:titlePg/>
      <w:docGrid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PAGE   \* MERGEFORMAT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4</w:t>
    </w:r>
    <w:r>
      <w:rPr>
        <w:color w:val="000000" w:themeColor="text1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045D8"/>
    <w:rsid w:val="00017D1D"/>
    <w:rsid w:val="00094B88"/>
    <w:rsid w:val="000967D2"/>
    <w:rsid w:val="000C1B95"/>
    <w:rsid w:val="000E2E7A"/>
    <w:rsid w:val="0010401A"/>
    <w:rsid w:val="001168E0"/>
    <w:rsid w:val="00223897"/>
    <w:rsid w:val="002248C4"/>
    <w:rsid w:val="0027630E"/>
    <w:rsid w:val="002813FB"/>
    <w:rsid w:val="003045D8"/>
    <w:rsid w:val="00351748"/>
    <w:rsid w:val="003F4E66"/>
    <w:rsid w:val="004012D7"/>
    <w:rsid w:val="004D183B"/>
    <w:rsid w:val="004E20DE"/>
    <w:rsid w:val="00575E5D"/>
    <w:rsid w:val="005C4BE4"/>
    <w:rsid w:val="0063642D"/>
    <w:rsid w:val="007215DF"/>
    <w:rsid w:val="00736CE9"/>
    <w:rsid w:val="00767F29"/>
    <w:rsid w:val="007A73D3"/>
    <w:rsid w:val="007D0D63"/>
    <w:rsid w:val="007D5799"/>
    <w:rsid w:val="007E10F1"/>
    <w:rsid w:val="008B654A"/>
    <w:rsid w:val="008F1058"/>
    <w:rsid w:val="00937FED"/>
    <w:rsid w:val="009667D9"/>
    <w:rsid w:val="009A1A9A"/>
    <w:rsid w:val="009D6B22"/>
    <w:rsid w:val="00A22FA6"/>
    <w:rsid w:val="00A33C4A"/>
    <w:rsid w:val="00AC4D4F"/>
    <w:rsid w:val="00B2348A"/>
    <w:rsid w:val="00B7747C"/>
    <w:rsid w:val="00BA61EE"/>
    <w:rsid w:val="00C459DC"/>
    <w:rsid w:val="00C563B0"/>
    <w:rsid w:val="00C9596A"/>
    <w:rsid w:val="00D465E3"/>
    <w:rsid w:val="00D636EC"/>
    <w:rsid w:val="00DB78CC"/>
    <w:rsid w:val="00DD1979"/>
    <w:rsid w:val="00DE258E"/>
    <w:rsid w:val="00E07D72"/>
    <w:rsid w:val="00E11454"/>
    <w:rsid w:val="00E47A16"/>
    <w:rsid w:val="00E741F0"/>
    <w:rsid w:val="00EB47FB"/>
    <w:rsid w:val="00EC3ADA"/>
    <w:rsid w:val="00EE607E"/>
    <w:rsid w:val="00F07B2E"/>
    <w:rsid w:val="00F23196"/>
    <w:rsid w:val="00F45E4D"/>
    <w:rsid w:val="00F6489C"/>
    <w:rsid w:val="00F73CAA"/>
    <w:rsid w:val="00F81BA2"/>
    <w:rsid w:val="00FE6EB5"/>
    <w:rsid w:val="24DD3188"/>
    <w:rsid w:val="308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color w:val="FF0000"/>
      <w:sz w:val="30"/>
      <w:szCs w:val="30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9">
    <w:name w:val="Style1"/>
    <w:basedOn w:val="1"/>
    <w:uiPriority w:val="0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10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11">
    <w:name w:val="preamble"/>
    <w:basedOn w:val="1"/>
    <w:qFormat/>
    <w:uiPriority w:val="0"/>
    <w:pPr>
      <w:spacing w:before="160" w:after="16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12">
    <w:name w:val="Font Style17"/>
    <w:qFormat/>
    <w:uiPriority w:val="0"/>
    <w:rPr>
      <w:rFonts w:hint="default" w:ascii="Times New Roman" w:hAnsi="Times New Roman" w:cs="Times New Roman"/>
      <w:sz w:val="28"/>
      <w:szCs w:val="28"/>
    </w:rPr>
  </w:style>
  <w:style w:type="character" w:customStyle="1" w:styleId="13">
    <w:name w:val="Font Style16"/>
    <w:qFormat/>
    <w:uiPriority w:val="0"/>
    <w:rPr>
      <w:rFonts w:ascii="Times New Roman" w:hAnsi="Times New Roman" w:cs="Times New Roman"/>
      <w:b/>
      <w:bCs/>
      <w:sz w:val="28"/>
      <w:szCs w:val="28"/>
    </w:rPr>
  </w:style>
  <w:style w:type="paragraph" w:customStyle="1" w:styleId="14">
    <w:name w:val="point"/>
    <w:basedOn w:val="1"/>
    <w:qFormat/>
    <w:uiPriority w:val="0"/>
    <w:pPr>
      <w:spacing w:before="160" w:after="16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15">
    <w:name w:val="newncpi"/>
    <w:basedOn w:val="1"/>
    <w:uiPriority w:val="0"/>
    <w:pPr>
      <w:spacing w:before="160" w:after="16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16">
    <w:name w:val="Верхний колонтитул Знак"/>
    <w:basedOn w:val="2"/>
    <w:link w:val="6"/>
    <w:qFormat/>
    <w:uiPriority w:val="99"/>
  </w:style>
  <w:style w:type="character" w:customStyle="1" w:styleId="17">
    <w:name w:val="Нижний колонтитул Знак"/>
    <w:basedOn w:val="2"/>
    <w:link w:val="5"/>
    <w:semiHidden/>
    <w:qFormat/>
    <w:uiPriority w:val="99"/>
  </w:style>
  <w:style w:type="paragraph" w:customStyle="1" w:styleId="18">
    <w:name w:val="titlep"/>
    <w:basedOn w:val="1"/>
    <w:qFormat/>
    <w:uiPriority w:val="0"/>
    <w:pPr>
      <w:spacing w:before="360" w:after="36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19">
    <w:name w:val="table10"/>
    <w:basedOn w:val="1"/>
    <w:qFormat/>
    <w:uiPriority w:val="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20">
    <w:name w:val="append"/>
    <w:basedOn w:val="1"/>
    <w:uiPriority w:val="0"/>
    <w:pPr>
      <w:spacing w:after="0" w:line="240" w:lineRule="auto"/>
    </w:pPr>
    <w:rPr>
      <w:rFonts w:eastAsia="Times New Roman"/>
      <w:i/>
      <w:iCs/>
      <w:color w:val="auto"/>
      <w:sz w:val="22"/>
      <w:szCs w:val="22"/>
      <w:lang w:eastAsia="ru-RU"/>
    </w:rPr>
  </w:style>
  <w:style w:type="paragraph" w:customStyle="1" w:styleId="21">
    <w:name w:val="nonumheader"/>
    <w:basedOn w:val="1"/>
    <w:qFormat/>
    <w:uiPriority w:val="0"/>
    <w:pPr>
      <w:spacing w:before="360" w:after="36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22">
    <w:name w:val="append1"/>
    <w:basedOn w:val="1"/>
    <w:qFormat/>
    <w:uiPriority w:val="0"/>
    <w:pPr>
      <w:spacing w:after="28" w:line="240" w:lineRule="auto"/>
    </w:pPr>
    <w:rPr>
      <w:rFonts w:eastAsia="Times New Roman"/>
      <w:i/>
      <w:iCs/>
      <w:color w:val="auto"/>
      <w:sz w:val="22"/>
      <w:szCs w:val="22"/>
      <w:lang w:eastAsia="ru-RU"/>
    </w:rPr>
  </w:style>
  <w:style w:type="paragraph" w:customStyle="1" w:styleId="23">
    <w:name w:val="newncpi0"/>
    <w:basedOn w:val="1"/>
    <w:qFormat/>
    <w:uiPriority w:val="0"/>
    <w:pPr>
      <w:spacing w:before="160" w:after="16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24">
    <w:name w:val="undline"/>
    <w:basedOn w:val="1"/>
    <w:qFormat/>
    <w:uiPriority w:val="0"/>
    <w:pPr>
      <w:spacing w:before="160" w:after="16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2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6">
    <w:name w:val="titlencpi"/>
    <w:basedOn w:val="1"/>
    <w:qFormat/>
    <w:uiPriority w:val="0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27">
    <w:name w:val="titleu"/>
    <w:basedOn w:val="1"/>
    <w:qFormat/>
    <w:uiPriority w:val="0"/>
    <w:pPr>
      <w:spacing w:before="240" w:after="24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28">
    <w:name w:val="cap1"/>
    <w:basedOn w:val="1"/>
    <w:qFormat/>
    <w:uiPriority w:val="0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29">
    <w:name w:val="capu1"/>
    <w:basedOn w:val="1"/>
    <w:qFormat/>
    <w:uiPriority w:val="0"/>
    <w:pPr>
      <w:spacing w:after="120" w:line="240" w:lineRule="auto"/>
    </w:pPr>
    <w:rPr>
      <w:rFonts w:eastAsia="Times New Roman"/>
      <w:color w:val="auto"/>
      <w:sz w:val="22"/>
      <w:szCs w:val="22"/>
      <w:lang w:eastAsia="ru-RU"/>
    </w:rPr>
  </w:style>
  <w:style w:type="character" w:customStyle="1" w:styleId="30">
    <w:name w:val="name"/>
    <w:basedOn w:val="2"/>
    <w:qFormat/>
    <w:uiPriority w:val="0"/>
    <w:rPr>
      <w:rFonts w:hint="default" w:ascii="Times New Roman" w:hAnsi="Times New Roman" w:cs="Times New Roman"/>
      <w:caps/>
    </w:rPr>
  </w:style>
  <w:style w:type="character" w:customStyle="1" w:styleId="31">
    <w:name w:val="promulgator"/>
    <w:basedOn w:val="2"/>
    <w:qFormat/>
    <w:uiPriority w:val="0"/>
    <w:rPr>
      <w:rFonts w:hint="default" w:ascii="Times New Roman" w:hAnsi="Times New Roman" w:cs="Times New Roman"/>
      <w:caps/>
    </w:rPr>
  </w:style>
  <w:style w:type="character" w:customStyle="1" w:styleId="32">
    <w:name w:val="datepr"/>
    <w:basedOn w:val="2"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number"/>
    <w:basedOn w:val="2"/>
    <w:qFormat/>
    <w:uiPriority w:val="0"/>
    <w:rPr>
      <w:rFonts w:hint="default" w:ascii="Times New Roman" w:hAnsi="Times New Roman" w:cs="Times New Roman"/>
    </w:rPr>
  </w:style>
  <w:style w:type="character" w:customStyle="1" w:styleId="34">
    <w:name w:val="post"/>
    <w:basedOn w:val="2"/>
    <w:qFormat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35">
    <w:name w:val="pers"/>
    <w:basedOn w:val="2"/>
    <w:qFormat/>
    <w:uiPriority w:val="0"/>
    <w:rPr>
      <w:rFonts w:hint="default" w:ascii="Times New Roman" w:hAnsi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UTZSZ</Company>
  <Pages>9</Pages>
  <Words>2802</Words>
  <Characters>15972</Characters>
  <Lines>133</Lines>
  <Paragraphs>37</Paragraphs>
  <TotalTime>29</TotalTime>
  <ScaleCrop>false</ScaleCrop>
  <LinksUpToDate>false</LinksUpToDate>
  <CharactersWithSpaces>18737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2024-05-23T15:05:00Z</dcterms:created>
  <dc:creator>dubrovskaia</dc:creator>
  <cp:lastModifiedBy>Lenav</cp:lastModifiedBy>
  <cp:lastPrinted>2022-01-13T05:45:00Z</cp:lastPrinted>
  <dcterms:modified xsi:type="dcterms:W3CDTF">2024-05-24T13:31:12Z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D589DA0BFD3D4C65B67E583689709BF0_12</vt:lpwstr>
  </property>
</Properties>
</file>