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04" w:rsidRDefault="006E0515">
      <w:pPr>
        <w:spacing w:after="0" w:line="240" w:lineRule="auto"/>
        <w:ind w:left="900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Дата последнего изменения: </w:t>
      </w:r>
      <w:r>
        <w:rPr>
          <w:rFonts w:ascii="Times New Roman" w:eastAsia="Times New Roman" w:hAnsi="Times New Roman" w:cs="Times New Roman"/>
          <w:sz w:val="24"/>
        </w:rPr>
        <w:t>12.07.2025</w:t>
      </w:r>
    </w:p>
    <w:p w:rsidR="00AA3A04" w:rsidRDefault="00AA3A04">
      <w:pPr>
        <w:spacing w:after="0" w:line="240" w:lineRule="auto"/>
        <w:jc w:val="both"/>
      </w:pP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о проведении повторных открытых электронных торгов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 продаже</w:t>
      </w:r>
      <w:r>
        <w:rPr>
          <w:rFonts w:ascii="Times New Roman" w:eastAsia="Times New Roman" w:hAnsi="Times New Roman" w:cs="Times New Roman"/>
          <w:sz w:val="24"/>
        </w:rPr>
        <w:t xml:space="preserve"> имущества, находящегося в коммунальной собственности.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Организатор: </w:t>
      </w:r>
      <w:r>
        <w:rPr>
          <w:rFonts w:ascii="Times New Roman" w:eastAsia="Times New Roman" w:hAnsi="Times New Roman" w:cs="Times New Roman"/>
          <w:sz w:val="24"/>
        </w:rPr>
        <w:t xml:space="preserve">1409, Комитет государственного имущества Витебского областного исполнительного комитета, УНП: 300002495, адрес: </w:t>
      </w:r>
      <w:proofErr w:type="gramStart"/>
      <w:r>
        <w:rPr>
          <w:rFonts w:ascii="Times New Roman" w:eastAsia="Times New Roman" w:hAnsi="Times New Roman" w:cs="Times New Roman"/>
          <w:sz w:val="24"/>
        </w:rPr>
        <w:t>Витебская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обл., г. Витебск, ул. Правды, 38, телефон: 8(0212) 65-34-71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Электронные торги состоятся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18.08.2025</w:t>
      </w:r>
      <w:r>
        <w:rPr>
          <w:rFonts w:ascii="Times New Roman" w:eastAsia="Times New Roman" w:hAnsi="Times New Roman" w:cs="Times New Roman"/>
          <w:sz w:val="24"/>
        </w:rPr>
        <w:t xml:space="preserve"> на площадке </w:t>
      </w:r>
      <w:r>
        <w:rPr>
          <w:rFonts w:ascii="Times New Roman" w:eastAsia="Times New Roman" w:hAnsi="Times New Roman" w:cs="Times New Roman"/>
          <w:sz w:val="24"/>
          <w:u w:val="single"/>
        </w:rPr>
        <w:t>Открытое акционерное общество "Белорусская универсальная товарная биржа"</w:t>
      </w:r>
      <w:r>
        <w:rPr>
          <w:rFonts w:ascii="Times New Roman" w:eastAsia="Times New Roman" w:hAnsi="Times New Roman" w:cs="Times New Roman"/>
          <w:sz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u w:val="single"/>
        </w:rPr>
        <w:t>www.et.butb.by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Заявления на участие в электронных торгах с прилагаемыми документами принимаются в рабочие дни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09:00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13:00</w:t>
      </w:r>
      <w:r>
        <w:rPr>
          <w:rFonts w:ascii="Times New Roman" w:eastAsia="Times New Roman" w:hAnsi="Times New Roman" w:cs="Times New Roman"/>
          <w:sz w:val="24"/>
        </w:rPr>
        <w:t xml:space="preserve"> 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13:45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Крайний срок приема заявлений: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13.08.2025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AA3A04" w:rsidRDefault="00AA3A04">
      <w:pPr>
        <w:spacing w:after="0" w:line="240" w:lineRule="auto"/>
        <w:jc w:val="both"/>
      </w:pPr>
    </w:p>
    <w:p w:rsidR="00AA3A04" w:rsidRDefault="00AA3A04">
      <w:pPr>
        <w:spacing w:after="0" w:line="240" w:lineRule="auto"/>
        <w:jc w:val="both"/>
      </w:pP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ЛОТ #62723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Наименование предмета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Здание пункта сушки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льновороха</w:t>
      </w:r>
      <w:proofErr w:type="spellEnd"/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Продавец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21031, Коммунальное унитарное сельскохозяйственное предприятие "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АгроСитцы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", УНП: 300014127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Телефон контактного лица для показа объектов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+375 215 75-44-08</w:t>
      </w:r>
    </w:p>
    <w:p w:rsidR="00AA3A04" w:rsidRDefault="00AA3A04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6000"/>
        <w:gridCol w:w="4000"/>
      </w:tblGrid>
      <w:tr w:rsidR="00AA3A04">
        <w:trPr>
          <w:trHeight w:val="500"/>
          <w:jc w:val="center"/>
        </w:trPr>
        <w:tc>
          <w:tcPr>
            <w:tcW w:w="3500" w:type="dxa"/>
            <w:vAlign w:val="center"/>
          </w:tcPr>
          <w:p w:rsidR="00AA3A04" w:rsidRDefault="006E05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6000" w:type="dxa"/>
            <w:vAlign w:val="center"/>
          </w:tcPr>
          <w:p w:rsidR="00AA3A04" w:rsidRDefault="006E05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4000" w:type="dxa"/>
            <w:vAlign w:val="center"/>
          </w:tcPr>
          <w:p w:rsidR="00AA3A04" w:rsidRDefault="006E05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QR-код</w:t>
            </w:r>
          </w:p>
        </w:tc>
      </w:tr>
      <w:tr w:rsidR="00AA3A04">
        <w:trPr>
          <w:cantSplit/>
          <w:jc w:val="center"/>
        </w:trPr>
        <w:tc>
          <w:tcPr>
            <w:tcW w:w="3500" w:type="dxa"/>
            <w:vAlign w:val="center"/>
          </w:tcPr>
          <w:p w:rsidR="00AA3A04" w:rsidRDefault="006E05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#11755930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здание, наименование: "Пункт сушки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льновороха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", адрес: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Витебская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обл., Докшицкий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Берёзковский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с/с,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Берёзки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https://au.nca.by/item/11755930</w:t>
            </w:r>
          </w:p>
        </w:tc>
        <w:tc>
          <w:tcPr>
            <w:tcW w:w="6000" w:type="dxa"/>
            <w:vAlign w:val="center"/>
          </w:tcPr>
          <w:p w:rsidR="00AA3A04" w:rsidRDefault="006E05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ОБЪЕКТ НЕ ЗАРЕГИСТРИРОВАН В ЕДИНОМ ГОСУДАРСТВЕННОМ РЕГИСТРЕ НЕДВИЖИМОГО ИМУЩЕСТВА, ПРАВ НА НЕГО, СДЕЛОК С НИМ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4000" w:type="dxa"/>
            <w:vAlign w:val="center"/>
          </w:tcPr>
          <w:p w:rsidR="00AA3A04" w:rsidRDefault="006E05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Drawing 0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рассрочке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Победителю электронных торгов (претенденту на покупку) рассрочка оплаты недвижимого, движимого имущества предоставляется по его письменному заявлению в установленном законодательством порядке.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Сроки подписания договоров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Не позднее 10 рабочих дней со дня возмещения затрат, иных платежей, указанных в протоколе о результатах торгов.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Вид вещного права на земельный участок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Право аренды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аренды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50 лет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 реализации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Отчуждение государственного имущества осуществляется с обязательствами покупателя при заключении договора купли-продажи по выполнению условия: осуществление покупателем деятельности с использованием приобретенного недвижимого имущества и (или) построенного нового объекта недвижимого имущества (в случае сноса недвижимого имущества), не менее одного года (начало осуществления - не позднее 24 месяцев со дня заключения договора купли-продажи).  Условия продажи недвижимого имущества: возместить документально подтвержденные расходы, связанные с подготовкой имущества к продаже, в размере 904,03 рубля.   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Начальная стоимость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Цена продажи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Начальная цена продажи равна 1 базовой величине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стоимость лота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42.00 BYN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Задаток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Размер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42.00 BYN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до окончания срока подачи заявления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Порядок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на расчетный счет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Реквизиты банковского счета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№ BY60AKBB30120000066940000000, в ОАО «АСБ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 в г. Минске, код банка: AKBBBY2X, УНП 190542056, получатель платежа – ОАО «Белорусская универсальная товарная биржа». Код категории назначения перевода: для юридических лиц и индивидуальных предпринимателей – OTHR; для физических лиц – MP2B (платеж с текущего (расчетного) банковского счета физического лица) или CASH (платеж наличными в кассе банка). Код назначения платежа – 40901 (перечисление гарантийного взноса). Срок внесения задатка – до окончания срока подачи заявления на участие в электронных торгах. Назначение платежа: внесение суммы задатка для участия в электронных торгах. Лицо, желающее принять участие в электронных торгах в отношении нескольких предметов электронных торгов, вносит задатки в размере, установленном для каждого из этих предметов.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Расходы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Расходы, связанные с формированием земельного участка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594.52 BYN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порядке и сроках возмещения затрат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Дополнительная информация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земельном участке для обслуживания недвижимого имущества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с кадастровым номером 222180800010000040 для строительства и обслуживания капитального строения (здания пункта сушки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льновороха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(земельный участок для иных сельскохозяйственных целей), площадью 0,1025 га. 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Условия, связанные с использованием земельного участка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Использовать земельный участок по назначению или для размещения объектов иного назначения.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Назначение дальнейшего использования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Многофункциональное назначение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Порядок проведения аукциона определяют: </w:t>
      </w: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ab/>
        <w:t>Положение о порядке проведения электронных торгов, утвержденное постановлением Совета Министров Республики Беларусь от 12.07.2013 №608</w:t>
      </w:r>
    </w:p>
    <w:p w:rsidR="00AA3A04" w:rsidRDefault="00AA3A04">
      <w:pPr>
        <w:spacing w:after="0" w:line="240" w:lineRule="auto"/>
        <w:jc w:val="both"/>
      </w:pPr>
    </w:p>
    <w:p w:rsidR="00AA3A04" w:rsidRDefault="006E051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Информация об объектах, предлагаемых к продаже, размещена на сайтах Государственного комитета по имуществу Республики Беларусь </w:t>
      </w:r>
      <w:r>
        <w:rPr>
          <w:rFonts w:ascii="Times New Roman" w:eastAsia="Times New Roman" w:hAnsi="Times New Roman" w:cs="Times New Roman"/>
          <w:b/>
          <w:sz w:val="24"/>
        </w:rPr>
        <w:tab/>
        <w:t>https://au.nca.by</w:t>
      </w:r>
      <w:r>
        <w:rPr>
          <w:rFonts w:ascii="Times New Roman" w:eastAsia="Times New Roman" w:hAnsi="Times New Roman" w:cs="Times New Roman"/>
          <w:sz w:val="24"/>
        </w:rPr>
        <w:tab/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ab/>
        <w:t>http://www.gki.gov.by</w:t>
      </w:r>
    </w:p>
    <w:sectPr w:rsidR="00AA3A04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04"/>
    <w:rsid w:val="006E0515"/>
    <w:rsid w:val="00AA3A04"/>
    <w:rsid w:val="00B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Отдел экономики</cp:lastModifiedBy>
  <cp:revision>2</cp:revision>
  <cp:lastPrinted>2025-08-01T06:44:00Z</cp:lastPrinted>
  <dcterms:created xsi:type="dcterms:W3CDTF">2025-08-01T11:55:00Z</dcterms:created>
  <dcterms:modified xsi:type="dcterms:W3CDTF">2025-08-01T11:55:00Z</dcterms:modified>
</cp:coreProperties>
</file>